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74E1" w14:textId="1F793322" w:rsidR="00CD5623" w:rsidRDefault="00CD5623" w:rsidP="00CD5623">
      <w:pPr>
        <w:spacing w:after="0"/>
        <w:jc w:val="center"/>
        <w:rPr>
          <w:rFonts w:ascii="Times New Roman" w:hAnsi="Times New Roman" w:cs="Times New Roman"/>
          <w:sz w:val="20"/>
          <w:szCs w:val="20"/>
          <w:lang w:val="en-US"/>
        </w:rPr>
      </w:pPr>
      <w:r w:rsidRPr="00CD5623">
        <w:rPr>
          <w:rFonts w:ascii="Felix Titling" w:eastAsia="Arial Unicode MS" w:hAnsi="Felix Titling" w:cs="Arial Unicode MS"/>
          <w:b/>
          <w:noProof/>
          <w:w w:val="120"/>
          <w:sz w:val="16"/>
          <w:szCs w:val="16"/>
          <w:lang w:val="en-US"/>
        </w:rPr>
        <w:drawing>
          <wp:inline distT="0" distB="0" distL="0" distR="0" wp14:anchorId="5B75D5F8" wp14:editId="529E7BA3">
            <wp:extent cx="5734050" cy="1151050"/>
            <wp:effectExtent l="0" t="0" r="0" b="0"/>
            <wp:docPr id="3" name="Picture 3" descr="C:\Users\Gani.Cacaj\Desktop\Logo-KDE\1 Ban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i.Cacaj\Desktop\Logo-KDE\1 Baner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151050"/>
                    </a:xfrm>
                    <a:prstGeom prst="rect">
                      <a:avLst/>
                    </a:prstGeom>
                    <a:noFill/>
                    <a:ln>
                      <a:noFill/>
                    </a:ln>
                  </pic:spPr>
                </pic:pic>
              </a:graphicData>
            </a:graphic>
          </wp:inline>
        </w:drawing>
      </w:r>
    </w:p>
    <w:p w14:paraId="1C1AC264" w14:textId="77777777" w:rsidR="00CD5623" w:rsidRPr="003B13E2" w:rsidRDefault="00CD5623" w:rsidP="00CD5623">
      <w:pPr>
        <w:spacing w:after="0"/>
        <w:rPr>
          <w:rFonts w:ascii="Times New Roman" w:hAnsi="Times New Roman" w:cs="Times New Roman"/>
          <w:sz w:val="20"/>
          <w:szCs w:val="20"/>
        </w:rPr>
      </w:pPr>
      <w:r>
        <w:rPr>
          <w:rFonts w:ascii="Times New Roman" w:hAnsi="Times New Roman" w:cs="Times New Roman"/>
          <w:sz w:val="20"/>
          <w:szCs w:val="20"/>
          <w:lang w:val="en-US"/>
        </w:rPr>
        <w:t xml:space="preserve">                                </w:t>
      </w:r>
      <w:r w:rsidRPr="003B13E2">
        <w:rPr>
          <w:rFonts w:ascii="Times New Roman" w:hAnsi="Times New Roman" w:cs="Times New Roman"/>
          <w:sz w:val="20"/>
          <w:szCs w:val="20"/>
        </w:rPr>
        <w:t xml:space="preserve">        </w:t>
      </w:r>
      <w:r w:rsidR="00B4525A" w:rsidRPr="003B13E2">
        <w:rPr>
          <w:rFonts w:ascii="Times New Roman" w:hAnsi="Times New Roman" w:cs="Times New Roman"/>
          <w:sz w:val="20"/>
          <w:szCs w:val="20"/>
        </w:rPr>
        <w:t>Komuna e Deçan</w:t>
      </w:r>
      <w:r w:rsidRPr="003B13E2">
        <w:rPr>
          <w:rFonts w:ascii="Times New Roman" w:hAnsi="Times New Roman" w:cs="Times New Roman"/>
          <w:sz w:val="20"/>
          <w:szCs w:val="20"/>
        </w:rPr>
        <w:t>it</w:t>
      </w:r>
    </w:p>
    <w:p w14:paraId="49A04A53" w14:textId="2E90D49B" w:rsidR="00B4525A" w:rsidRPr="003B13E2" w:rsidRDefault="00CD5623" w:rsidP="00CD5623">
      <w:pPr>
        <w:spacing w:after="0"/>
        <w:rPr>
          <w:rFonts w:ascii="Times New Roman" w:hAnsi="Times New Roman" w:cs="Times New Roman"/>
          <w:b/>
          <w:sz w:val="24"/>
          <w:szCs w:val="24"/>
        </w:rPr>
      </w:pPr>
      <w:r w:rsidRPr="003B13E2">
        <w:rPr>
          <w:rFonts w:ascii="Times New Roman" w:hAnsi="Times New Roman" w:cs="Times New Roman"/>
          <w:sz w:val="20"/>
          <w:szCs w:val="20"/>
        </w:rPr>
        <w:t xml:space="preserve">                                       </w:t>
      </w:r>
      <w:r w:rsidR="00B4525A" w:rsidRPr="003B13E2">
        <w:rPr>
          <w:rFonts w:ascii="Times New Roman" w:hAnsi="Times New Roman" w:cs="Times New Roman"/>
          <w:sz w:val="20"/>
          <w:szCs w:val="20"/>
        </w:rPr>
        <w:t xml:space="preserve"> </w:t>
      </w:r>
      <w:r w:rsidR="00A536FE" w:rsidRPr="003B13E2">
        <w:rPr>
          <w:rFonts w:ascii="Times New Roman" w:hAnsi="Times New Roman" w:cs="Times New Roman"/>
          <w:sz w:val="20"/>
          <w:szCs w:val="20"/>
        </w:rPr>
        <w:t>Qershor</w:t>
      </w:r>
      <w:r w:rsidR="00430571" w:rsidRPr="003B13E2">
        <w:rPr>
          <w:rFonts w:ascii="Times New Roman" w:hAnsi="Times New Roman" w:cs="Times New Roman"/>
          <w:sz w:val="20"/>
          <w:szCs w:val="20"/>
        </w:rPr>
        <w:t xml:space="preserve"> 202</w:t>
      </w:r>
      <w:r w:rsidR="00FF6ED1" w:rsidRPr="003B13E2">
        <w:rPr>
          <w:rFonts w:ascii="Times New Roman" w:hAnsi="Times New Roman" w:cs="Times New Roman"/>
          <w:sz w:val="20"/>
          <w:szCs w:val="20"/>
        </w:rPr>
        <w:t>5</w:t>
      </w:r>
    </w:p>
    <w:p w14:paraId="25501D62" w14:textId="77777777" w:rsidR="00B4525A" w:rsidRDefault="00B4525A" w:rsidP="00B4525A">
      <w:pPr>
        <w:jc w:val="center"/>
        <w:rPr>
          <w:rFonts w:ascii="Times New Roman" w:hAnsi="Times New Roman" w:cs="Times New Roman"/>
          <w:b/>
          <w:sz w:val="24"/>
          <w:szCs w:val="24"/>
          <w:lang w:val="en-US"/>
        </w:rPr>
      </w:pPr>
    </w:p>
    <w:p w14:paraId="0D83FA2B" w14:textId="77777777" w:rsidR="00634200" w:rsidRPr="001E24EB" w:rsidRDefault="00634200" w:rsidP="001E24EB">
      <w:pPr>
        <w:pStyle w:val="Heading1"/>
        <w:rPr>
          <w:rFonts w:ascii="Times New Roman" w:hAnsi="Times New Roman" w:cs="Times New Roman"/>
          <w:b/>
          <w:lang w:val="en-US"/>
        </w:rPr>
      </w:pPr>
    </w:p>
    <w:p w14:paraId="48DEE6B6" w14:textId="77777777" w:rsidR="001E24EB" w:rsidRPr="003B13E2" w:rsidRDefault="001E24EB" w:rsidP="001E24EB">
      <w:pPr>
        <w:pStyle w:val="Heading1"/>
        <w:jc w:val="center"/>
        <w:rPr>
          <w:rFonts w:ascii="Times New Roman" w:hAnsi="Times New Roman" w:cs="Times New Roman"/>
          <w:b/>
          <w:color w:val="auto"/>
        </w:rPr>
      </w:pPr>
      <w:proofErr w:type="spellStart"/>
      <w:r w:rsidRPr="003B13E2">
        <w:rPr>
          <w:rFonts w:ascii="Times New Roman" w:hAnsi="Times New Roman" w:cs="Times New Roman"/>
          <w:b/>
          <w:color w:val="auto"/>
        </w:rPr>
        <w:t>Plani</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i</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Veprimit</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për</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Zbatimin</w:t>
      </w:r>
      <w:proofErr w:type="spellEnd"/>
      <w:r w:rsidRPr="003B13E2">
        <w:rPr>
          <w:rFonts w:ascii="Times New Roman" w:hAnsi="Times New Roman" w:cs="Times New Roman"/>
          <w:b/>
          <w:color w:val="auto"/>
        </w:rPr>
        <w:t xml:space="preserve"> e </w:t>
      </w:r>
      <w:proofErr w:type="spellStart"/>
      <w:r w:rsidRPr="003B13E2">
        <w:rPr>
          <w:rFonts w:ascii="Times New Roman" w:hAnsi="Times New Roman" w:cs="Times New Roman"/>
          <w:b/>
          <w:color w:val="auto"/>
        </w:rPr>
        <w:t>Rekomandimeve</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të</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Zyrës</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Kombëtare</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të</w:t>
      </w:r>
      <w:proofErr w:type="spellEnd"/>
      <w:r w:rsidRPr="003B13E2">
        <w:rPr>
          <w:rFonts w:ascii="Times New Roman" w:hAnsi="Times New Roman" w:cs="Times New Roman"/>
          <w:b/>
          <w:color w:val="auto"/>
        </w:rPr>
        <w:t xml:space="preserve"> </w:t>
      </w:r>
      <w:proofErr w:type="spellStart"/>
      <w:r w:rsidRPr="003B13E2">
        <w:rPr>
          <w:rFonts w:ascii="Times New Roman" w:hAnsi="Times New Roman" w:cs="Times New Roman"/>
          <w:b/>
          <w:color w:val="auto"/>
        </w:rPr>
        <w:t>Auditimit</w:t>
      </w:r>
      <w:proofErr w:type="spellEnd"/>
      <w:r w:rsidRPr="003B13E2">
        <w:rPr>
          <w:rFonts w:ascii="Times New Roman" w:hAnsi="Times New Roman" w:cs="Times New Roman"/>
          <w:b/>
          <w:color w:val="auto"/>
        </w:rPr>
        <w:t xml:space="preserve"> – ZKA</w:t>
      </w:r>
    </w:p>
    <w:p w14:paraId="5A557005" w14:textId="77777777" w:rsidR="00E61B33" w:rsidRPr="003B13E2" w:rsidRDefault="00B4525A" w:rsidP="001E24EB">
      <w:pPr>
        <w:jc w:val="center"/>
        <w:rPr>
          <w:rFonts w:ascii="Times New Roman" w:hAnsi="Times New Roman" w:cs="Times New Roman"/>
          <w:b/>
          <w:sz w:val="24"/>
          <w:szCs w:val="24"/>
        </w:rPr>
      </w:pPr>
      <w:r w:rsidRPr="003B13E2">
        <w:rPr>
          <w:rFonts w:ascii="Times New Roman" w:hAnsi="Times New Roman" w:cs="Times New Roman"/>
          <w:b/>
          <w:sz w:val="24"/>
          <w:szCs w:val="24"/>
        </w:rPr>
        <w:br/>
      </w:r>
    </w:p>
    <w:p w14:paraId="1AB75E1D" w14:textId="52B13133" w:rsidR="00B4525A" w:rsidRPr="00F377D0" w:rsidRDefault="001E24EB" w:rsidP="00F377D0">
      <w:pPr>
        <w:spacing w:line="360" w:lineRule="auto"/>
        <w:jc w:val="both"/>
        <w:rPr>
          <w:rFonts w:ascii="Times New Roman" w:hAnsi="Times New Roman" w:cs="Times New Roman"/>
          <w:sz w:val="24"/>
          <w:szCs w:val="24"/>
        </w:rPr>
      </w:pPr>
      <w:r w:rsidRPr="001E24EB">
        <w:rPr>
          <w:rFonts w:ascii="Times New Roman" w:hAnsi="Times New Roman" w:cs="Times New Roman"/>
          <w:b/>
          <w:sz w:val="24"/>
          <w:szCs w:val="24"/>
        </w:rPr>
        <w:t>Opinioni i Kualifikuar për Pasqyrat Financiare Vjetore të Komunës së Deçanit</w:t>
      </w:r>
      <w:r w:rsidR="00FF6ED1">
        <w:rPr>
          <w:rStyle w:val="FootnoteReference"/>
          <w:rFonts w:ascii="Times New Roman" w:hAnsi="Times New Roman" w:cs="Times New Roman"/>
          <w:b/>
          <w:sz w:val="24"/>
          <w:szCs w:val="24"/>
        </w:rPr>
        <w:footnoteReference w:id="1"/>
      </w:r>
    </w:p>
    <w:p w14:paraId="7C5FD5A4" w14:textId="77777777" w:rsidR="001E24EB" w:rsidRPr="001E24EB" w:rsidRDefault="001E24EB" w:rsidP="001E24EB">
      <w:pPr>
        <w:rPr>
          <w:rFonts w:ascii="Times New Roman" w:hAnsi="Times New Roman" w:cs="Times New Roman"/>
        </w:rPr>
      </w:pPr>
      <w:r w:rsidRPr="001E24EB">
        <w:rPr>
          <w:rFonts w:ascii="Times New Roman" w:hAnsi="Times New Roman" w:cs="Times New Roman"/>
        </w:rPr>
        <w:t xml:space="preserve">Ne kemi </w:t>
      </w:r>
      <w:proofErr w:type="spellStart"/>
      <w:r w:rsidRPr="001E24EB">
        <w:rPr>
          <w:rFonts w:ascii="Times New Roman" w:hAnsi="Times New Roman" w:cs="Times New Roman"/>
        </w:rPr>
        <w:t>audituar</w:t>
      </w:r>
      <w:proofErr w:type="spellEnd"/>
      <w:r w:rsidRPr="001E24EB">
        <w:rPr>
          <w:rFonts w:ascii="Times New Roman" w:hAnsi="Times New Roman" w:cs="Times New Roman"/>
        </w:rPr>
        <w:t xml:space="preserve"> pasqyrat financiare vjetore të Komunës së Deçanit (KD), të cilat përmbajnë pasqyrën e pranimeve dhe pagesave në para të gatshme, raportin e ekzekutimit të buxhetit si dhe shënimet shpjeguese për pasqyrat financiare, përfshirë përmbledhjen e politikave të rëndësishme të kontabilitetit dhe raportet e tjera, për vitin e përfunduar më 31 dhjetor 2024.</w:t>
      </w:r>
      <w:r w:rsidRPr="001E24EB">
        <w:rPr>
          <w:rFonts w:ascii="Times New Roman" w:hAnsi="Times New Roman" w:cs="Times New Roman"/>
        </w:rPr>
        <w:br/>
      </w:r>
      <w:r w:rsidRPr="001E24EB">
        <w:rPr>
          <w:rFonts w:ascii="Times New Roman" w:hAnsi="Times New Roman" w:cs="Times New Roman"/>
        </w:rPr>
        <w:br/>
        <w:t>Sipas opinionit tonë, përveç ndikimit të çështjes/ve të përshkruara në paragrafin për Bazën për Opinion të Kualifikuar, Pasqyrat Financiare Vjetore të Komunës së Deçanit paraqesin një pamje të drejtë dhe të saktë në të gjitha aspektet materiale, në përputhje me Standardet Ndërkombëtare të Kontabilitetit për Sektorin Publik, sipas kontabilitetit të bazuar në para të gatshme, Ligjin nr. 03/L-048 për Menaxhimin e Financave Publike dhe Përgjegjësitë (me plotësime dhe ndryshime), si dhe Rregulloren MF nr. 01/2017 për raportim vjetor financiar nga organizatat buxhetore.</w:t>
      </w:r>
    </w:p>
    <w:p w14:paraId="091FB4AB" w14:textId="77777777" w:rsidR="00634200" w:rsidRDefault="00634200" w:rsidP="00082916"/>
    <w:p w14:paraId="07410DB7" w14:textId="27A0A8F9" w:rsidR="00B4525A" w:rsidRDefault="00B4525A" w:rsidP="00581D63">
      <w:pPr>
        <w:rPr>
          <w:rFonts w:ascii="Times New Roman" w:hAnsi="Times New Roman" w:cs="Times New Roman"/>
          <w:b/>
          <w:sz w:val="24"/>
          <w:szCs w:val="24"/>
          <w:lang w:val="en-US"/>
        </w:rPr>
      </w:pPr>
    </w:p>
    <w:tbl>
      <w:tblPr>
        <w:tblStyle w:val="TableGrid"/>
        <w:tblW w:w="14172" w:type="dxa"/>
        <w:tblInd w:w="-455" w:type="dxa"/>
        <w:tblLook w:val="04A0" w:firstRow="1" w:lastRow="0" w:firstColumn="1" w:lastColumn="0" w:noHBand="0" w:noVBand="1"/>
      </w:tblPr>
      <w:tblGrid>
        <w:gridCol w:w="557"/>
        <w:gridCol w:w="2068"/>
        <w:gridCol w:w="3945"/>
        <w:gridCol w:w="2082"/>
        <w:gridCol w:w="2060"/>
        <w:gridCol w:w="1440"/>
        <w:gridCol w:w="2020"/>
      </w:tblGrid>
      <w:tr w:rsidR="001E24EB" w14:paraId="58F32C5E" w14:textId="77777777" w:rsidTr="003B13E2">
        <w:trPr>
          <w:trHeight w:val="1166"/>
        </w:trPr>
        <w:tc>
          <w:tcPr>
            <w:tcW w:w="557" w:type="dxa"/>
            <w:shd w:val="clear" w:color="auto" w:fill="BDD6EE" w:themeFill="accent1" w:themeFillTint="66"/>
          </w:tcPr>
          <w:p w14:paraId="65B7C865" w14:textId="176BA2A5"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lastRenderedPageBreak/>
              <w:t>Nr.</w:t>
            </w:r>
          </w:p>
        </w:tc>
        <w:tc>
          <w:tcPr>
            <w:tcW w:w="2068" w:type="dxa"/>
            <w:shd w:val="clear" w:color="auto" w:fill="BDD6EE" w:themeFill="accent1" w:themeFillTint="66"/>
          </w:tcPr>
          <w:p w14:paraId="568FBD41" w14:textId="41977C29"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Gjetja</w:t>
            </w:r>
          </w:p>
        </w:tc>
        <w:tc>
          <w:tcPr>
            <w:tcW w:w="3945" w:type="dxa"/>
            <w:shd w:val="clear" w:color="auto" w:fill="BDD6EE" w:themeFill="accent1" w:themeFillTint="66"/>
          </w:tcPr>
          <w:p w14:paraId="635C5C66" w14:textId="1B067994"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Rekomandimi</w:t>
            </w:r>
          </w:p>
        </w:tc>
        <w:tc>
          <w:tcPr>
            <w:tcW w:w="2082" w:type="dxa"/>
            <w:shd w:val="clear" w:color="auto" w:fill="BDD6EE" w:themeFill="accent1" w:themeFillTint="66"/>
          </w:tcPr>
          <w:p w14:paraId="6951A392" w14:textId="6C0D491F"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Veprimet e planifikuara për t'u ndërmarrë</w:t>
            </w:r>
          </w:p>
        </w:tc>
        <w:tc>
          <w:tcPr>
            <w:tcW w:w="2060" w:type="dxa"/>
            <w:shd w:val="clear" w:color="auto" w:fill="BDD6EE" w:themeFill="accent1" w:themeFillTint="66"/>
          </w:tcPr>
          <w:p w14:paraId="7BFD152A" w14:textId="2A3F35A7"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Zyrtari/ët përgjegjës</w:t>
            </w:r>
          </w:p>
        </w:tc>
        <w:tc>
          <w:tcPr>
            <w:tcW w:w="1440" w:type="dxa"/>
            <w:shd w:val="clear" w:color="auto" w:fill="BDD6EE" w:themeFill="accent1" w:themeFillTint="66"/>
          </w:tcPr>
          <w:p w14:paraId="3721F980" w14:textId="7626BDF1"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Data e planifikuar për zbatim</w:t>
            </w:r>
          </w:p>
        </w:tc>
        <w:tc>
          <w:tcPr>
            <w:tcW w:w="2020" w:type="dxa"/>
            <w:shd w:val="clear" w:color="auto" w:fill="BDD6EE" w:themeFill="accent1" w:themeFillTint="66"/>
          </w:tcPr>
          <w:p w14:paraId="2D6D661D" w14:textId="4062538E" w:rsidR="001E24EB" w:rsidRPr="001E24EB" w:rsidRDefault="001E24EB" w:rsidP="001E24EB">
            <w:pPr>
              <w:rPr>
                <w:rFonts w:ascii="Times New Roman" w:hAnsi="Times New Roman" w:cs="Times New Roman"/>
                <w:b/>
                <w:sz w:val="24"/>
                <w:szCs w:val="24"/>
              </w:rPr>
            </w:pPr>
            <w:r w:rsidRPr="001E24EB">
              <w:rPr>
                <w:rFonts w:ascii="Times New Roman" w:hAnsi="Times New Roman" w:cs="Times New Roman"/>
                <w:b/>
                <w:sz w:val="24"/>
                <w:szCs w:val="24"/>
              </w:rPr>
              <w:t>Raporti i hapave konkret për zbatim të rekomandimit dhe implementimit</w:t>
            </w:r>
          </w:p>
        </w:tc>
      </w:tr>
      <w:tr w:rsidR="001E24EB" w14:paraId="4B997531" w14:textId="77777777" w:rsidTr="003B13E2">
        <w:trPr>
          <w:trHeight w:val="291"/>
        </w:trPr>
        <w:tc>
          <w:tcPr>
            <w:tcW w:w="557" w:type="dxa"/>
          </w:tcPr>
          <w:p w14:paraId="7CC6FCBD" w14:textId="252EE3DD"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sz w:val="24"/>
                <w:szCs w:val="24"/>
              </w:rPr>
              <w:t>1</w:t>
            </w:r>
          </w:p>
        </w:tc>
        <w:tc>
          <w:tcPr>
            <w:tcW w:w="2068" w:type="dxa"/>
          </w:tcPr>
          <w:p w14:paraId="78DAD1D2" w14:textId="7586C3A3"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b/>
                <w:sz w:val="24"/>
                <w:szCs w:val="24"/>
              </w:rPr>
              <w:t>Çështja B1</w:t>
            </w:r>
            <w:r w:rsidRPr="00021871">
              <w:rPr>
                <w:rFonts w:ascii="Times New Roman" w:hAnsi="Times New Roman" w:cs="Times New Roman"/>
                <w:sz w:val="24"/>
                <w:szCs w:val="24"/>
              </w:rPr>
              <w:t xml:space="preserve"> – Mangësi në regjistrat e pasurive kapitale dhe jokapitale</w:t>
            </w:r>
          </w:p>
        </w:tc>
        <w:tc>
          <w:tcPr>
            <w:tcW w:w="3945" w:type="dxa"/>
          </w:tcPr>
          <w:p w14:paraId="7DB06C88" w14:textId="459006BA"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Kryetari duhet të sigurojë funksionimin efektiv të kontrollit të brendshëm dhe të forcojë koordinimin ndërmjet zyrtarit të pasurisë dhe Departamentit të Financave, në mënyrë që të gjitha pasuritë komunale të identifikohen, regjistrohen dhe zhvlerësohen në kohë, duke garantuar saktësi dhe përputhshmëri me kërkesat ligjore në raportimet financiare.</w:t>
            </w:r>
          </w:p>
        </w:tc>
        <w:tc>
          <w:tcPr>
            <w:tcW w:w="2082" w:type="dxa"/>
          </w:tcPr>
          <w:p w14:paraId="7440985C" w14:textId="58E2D810" w:rsidR="001E24EB" w:rsidRPr="00021871" w:rsidRDefault="001E24EB" w:rsidP="00A56BAE">
            <w:pPr>
              <w:rPr>
                <w:rFonts w:ascii="Times New Roman" w:hAnsi="Times New Roman" w:cs="Times New Roman"/>
                <w:sz w:val="24"/>
                <w:szCs w:val="24"/>
              </w:rPr>
            </w:pPr>
            <w:r w:rsidRPr="00021871">
              <w:rPr>
                <w:rFonts w:ascii="Times New Roman" w:hAnsi="Times New Roman" w:cs="Times New Roman"/>
                <w:sz w:val="24"/>
                <w:szCs w:val="24"/>
              </w:rPr>
              <w:t xml:space="preserve">Ka filluar regjistrimi dhe verifikimi i të gjitha pasurive </w:t>
            </w:r>
            <w:r w:rsidR="00A56BAE">
              <w:rPr>
                <w:rFonts w:ascii="Times New Roman" w:hAnsi="Times New Roman" w:cs="Times New Roman"/>
                <w:sz w:val="24"/>
                <w:szCs w:val="24"/>
              </w:rPr>
              <w:t>financiare.</w:t>
            </w:r>
          </w:p>
        </w:tc>
        <w:tc>
          <w:tcPr>
            <w:tcW w:w="2060" w:type="dxa"/>
          </w:tcPr>
          <w:p w14:paraId="6D220478" w14:textId="69FD008E" w:rsidR="001E24EB" w:rsidRPr="00021871" w:rsidRDefault="001E24EB" w:rsidP="001E24EB">
            <w:pPr>
              <w:rPr>
                <w:rFonts w:ascii="Times New Roman" w:eastAsia="Times New Roman" w:hAnsi="Times New Roman" w:cs="Times New Roman"/>
                <w:sz w:val="24"/>
                <w:szCs w:val="24"/>
              </w:rPr>
            </w:pPr>
            <w:r w:rsidRPr="00021871">
              <w:rPr>
                <w:rFonts w:ascii="Times New Roman" w:hAnsi="Times New Roman" w:cs="Times New Roman"/>
                <w:sz w:val="24"/>
                <w:szCs w:val="24"/>
              </w:rPr>
              <w:t>Zyrtari i pasurisë – Drejtoria për Buxhet dhe Financa; Drejtoria për Administratë</w:t>
            </w:r>
          </w:p>
        </w:tc>
        <w:tc>
          <w:tcPr>
            <w:tcW w:w="1440" w:type="dxa"/>
          </w:tcPr>
          <w:p w14:paraId="4D1263F5" w14:textId="0E1B7E91"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Gusht 2025</w:t>
            </w:r>
          </w:p>
        </w:tc>
        <w:tc>
          <w:tcPr>
            <w:tcW w:w="2020" w:type="dxa"/>
          </w:tcPr>
          <w:p w14:paraId="55918B4A" w14:textId="77777777" w:rsidR="001E24EB" w:rsidRPr="00021871" w:rsidRDefault="001E24EB" w:rsidP="001E24EB">
            <w:pPr>
              <w:rPr>
                <w:rFonts w:ascii="Times New Roman" w:hAnsi="Times New Roman" w:cs="Times New Roman"/>
                <w:b/>
                <w:sz w:val="24"/>
                <w:szCs w:val="24"/>
              </w:rPr>
            </w:pPr>
          </w:p>
        </w:tc>
      </w:tr>
      <w:tr w:rsidR="001E24EB" w14:paraId="3BB58F8E" w14:textId="77777777" w:rsidTr="003B13E2">
        <w:trPr>
          <w:trHeight w:val="291"/>
        </w:trPr>
        <w:tc>
          <w:tcPr>
            <w:tcW w:w="557" w:type="dxa"/>
          </w:tcPr>
          <w:p w14:paraId="45C5BD5B" w14:textId="7505E804"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sz w:val="24"/>
                <w:szCs w:val="24"/>
              </w:rPr>
              <w:t>2</w:t>
            </w:r>
          </w:p>
        </w:tc>
        <w:tc>
          <w:tcPr>
            <w:tcW w:w="2068" w:type="dxa"/>
          </w:tcPr>
          <w:p w14:paraId="4DFE2021" w14:textId="4A9AD1A3"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b/>
                <w:sz w:val="24"/>
                <w:szCs w:val="24"/>
              </w:rPr>
              <w:t>Çështja B2</w:t>
            </w:r>
            <w:r w:rsidRPr="00021871">
              <w:rPr>
                <w:rFonts w:ascii="Times New Roman" w:hAnsi="Times New Roman" w:cs="Times New Roman"/>
                <w:sz w:val="24"/>
                <w:szCs w:val="24"/>
              </w:rPr>
              <w:t xml:space="preserve"> – </w:t>
            </w:r>
            <w:proofErr w:type="spellStart"/>
            <w:r w:rsidRPr="00021871">
              <w:rPr>
                <w:rFonts w:ascii="Times New Roman" w:hAnsi="Times New Roman" w:cs="Times New Roman"/>
                <w:sz w:val="24"/>
                <w:szCs w:val="24"/>
              </w:rPr>
              <w:t>Mosverifikimi</w:t>
            </w:r>
            <w:proofErr w:type="spellEnd"/>
            <w:r w:rsidRPr="00021871">
              <w:rPr>
                <w:rFonts w:ascii="Times New Roman" w:hAnsi="Times New Roman" w:cs="Times New Roman"/>
                <w:sz w:val="24"/>
                <w:szCs w:val="24"/>
              </w:rPr>
              <w:t xml:space="preserve"> i 20% të gjendjes aktuale të objekteve</w:t>
            </w:r>
          </w:p>
        </w:tc>
        <w:tc>
          <w:tcPr>
            <w:tcW w:w="3945" w:type="dxa"/>
          </w:tcPr>
          <w:p w14:paraId="29236430" w14:textId="4E3B578D"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Kryetari duhet të sigurojë verifikimin e 20% të objekteve të paluajtshme në mënyrë që të integrohen të gjitha ndryshimet eventuale në bazën e të dhënave të pronave komunale.</w:t>
            </w:r>
          </w:p>
        </w:tc>
        <w:tc>
          <w:tcPr>
            <w:tcW w:w="2082" w:type="dxa"/>
          </w:tcPr>
          <w:p w14:paraId="4DC742E1" w14:textId="282AE216"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Do të angazhohen zyrtarët përkatës për implementimin e rekomandimit</w:t>
            </w:r>
          </w:p>
        </w:tc>
        <w:tc>
          <w:tcPr>
            <w:tcW w:w="2060" w:type="dxa"/>
          </w:tcPr>
          <w:p w14:paraId="705D897A" w14:textId="2555A854"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Zyra e Tatimit në Pronë</w:t>
            </w:r>
          </w:p>
        </w:tc>
        <w:tc>
          <w:tcPr>
            <w:tcW w:w="1440" w:type="dxa"/>
          </w:tcPr>
          <w:p w14:paraId="4F70020F" w14:textId="288BA8D5"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Dhje</w:t>
            </w:r>
            <w:r w:rsidR="00021871" w:rsidRPr="00021871">
              <w:rPr>
                <w:rFonts w:ascii="Times New Roman" w:hAnsi="Times New Roman" w:cs="Times New Roman"/>
                <w:sz w:val="24"/>
                <w:szCs w:val="24"/>
              </w:rPr>
              <w:t>tor 2025</w:t>
            </w:r>
          </w:p>
        </w:tc>
        <w:tc>
          <w:tcPr>
            <w:tcW w:w="2020" w:type="dxa"/>
          </w:tcPr>
          <w:p w14:paraId="170BD34B" w14:textId="233A7C61" w:rsidR="001E24EB" w:rsidRPr="00021871" w:rsidRDefault="001E24EB" w:rsidP="001E24EB">
            <w:pPr>
              <w:rPr>
                <w:rFonts w:ascii="Times New Roman" w:hAnsi="Times New Roman" w:cs="Times New Roman"/>
                <w:b/>
                <w:sz w:val="24"/>
                <w:szCs w:val="24"/>
              </w:rPr>
            </w:pPr>
          </w:p>
        </w:tc>
      </w:tr>
      <w:tr w:rsidR="001E24EB" w14:paraId="241CDE8B" w14:textId="77777777" w:rsidTr="003B13E2">
        <w:trPr>
          <w:trHeight w:val="291"/>
        </w:trPr>
        <w:tc>
          <w:tcPr>
            <w:tcW w:w="557" w:type="dxa"/>
          </w:tcPr>
          <w:p w14:paraId="03F9F715" w14:textId="271CBF30"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sz w:val="24"/>
                <w:szCs w:val="24"/>
              </w:rPr>
              <w:t>3</w:t>
            </w:r>
          </w:p>
        </w:tc>
        <w:tc>
          <w:tcPr>
            <w:tcW w:w="2068" w:type="dxa"/>
          </w:tcPr>
          <w:p w14:paraId="27888772" w14:textId="5532A98A"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b/>
                <w:sz w:val="24"/>
                <w:szCs w:val="24"/>
              </w:rPr>
              <w:t>Çështja B3</w:t>
            </w:r>
            <w:r w:rsidRPr="00021871">
              <w:rPr>
                <w:rFonts w:ascii="Times New Roman" w:hAnsi="Times New Roman" w:cs="Times New Roman"/>
                <w:sz w:val="24"/>
                <w:szCs w:val="24"/>
              </w:rPr>
              <w:t xml:space="preserve"> – Vonesa në pagesën e faturave dhe shpenzime shtesë për pagesat e ekzekutuara nga Thesari</w:t>
            </w:r>
          </w:p>
        </w:tc>
        <w:tc>
          <w:tcPr>
            <w:tcW w:w="3945" w:type="dxa"/>
          </w:tcPr>
          <w:p w14:paraId="3BC0D756" w14:textId="562079A8"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sz w:val="24"/>
                <w:szCs w:val="24"/>
              </w:rPr>
              <w:t>Kryetari duhet të sigurojë që obligimet të planifikohen/</w:t>
            </w:r>
            <w:proofErr w:type="spellStart"/>
            <w:r w:rsidRPr="00021871">
              <w:rPr>
                <w:rFonts w:ascii="Times New Roman" w:hAnsi="Times New Roman" w:cs="Times New Roman"/>
                <w:sz w:val="24"/>
                <w:szCs w:val="24"/>
              </w:rPr>
              <w:t>buxhetohen</w:t>
            </w:r>
            <w:proofErr w:type="spellEnd"/>
            <w:r w:rsidRPr="00021871">
              <w:rPr>
                <w:rFonts w:ascii="Times New Roman" w:hAnsi="Times New Roman" w:cs="Times New Roman"/>
                <w:sz w:val="24"/>
                <w:szCs w:val="24"/>
              </w:rPr>
              <w:t xml:space="preserve"> dhe të paguhen brenda afateve kohore ligjore për të mos dëmtuar buxhetin me kosto shtesë për përmbarim.</w:t>
            </w:r>
          </w:p>
        </w:tc>
        <w:tc>
          <w:tcPr>
            <w:tcW w:w="2082" w:type="dxa"/>
          </w:tcPr>
          <w:p w14:paraId="7011DD8C" w14:textId="00B5BDA6"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Zyrtarët përkatës do të marrin masat e duhura për implementim</w:t>
            </w:r>
          </w:p>
        </w:tc>
        <w:tc>
          <w:tcPr>
            <w:tcW w:w="2060" w:type="dxa"/>
          </w:tcPr>
          <w:p w14:paraId="786D45DB" w14:textId="4867E724"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Zyra e Kryetarit; Drejtoria për Buxhet dhe Financa; Drejtoritë e tjera</w:t>
            </w:r>
          </w:p>
        </w:tc>
        <w:tc>
          <w:tcPr>
            <w:tcW w:w="1440" w:type="dxa"/>
          </w:tcPr>
          <w:p w14:paraId="131DE875" w14:textId="6BA6D370" w:rsidR="001E24EB" w:rsidRPr="00021871" w:rsidRDefault="00021871" w:rsidP="001E24EB">
            <w:pPr>
              <w:rPr>
                <w:rFonts w:ascii="Times New Roman" w:hAnsi="Times New Roman" w:cs="Times New Roman"/>
                <w:sz w:val="24"/>
                <w:szCs w:val="24"/>
              </w:rPr>
            </w:pPr>
            <w:r w:rsidRPr="00021871">
              <w:rPr>
                <w:rFonts w:ascii="Times New Roman" w:hAnsi="Times New Roman" w:cs="Times New Roman"/>
                <w:sz w:val="24"/>
                <w:szCs w:val="24"/>
              </w:rPr>
              <w:t>Shtator – Dhjetor 2025</w:t>
            </w:r>
          </w:p>
        </w:tc>
        <w:tc>
          <w:tcPr>
            <w:tcW w:w="2020" w:type="dxa"/>
          </w:tcPr>
          <w:p w14:paraId="7D6B9AC1" w14:textId="6AEC069D" w:rsidR="001E24EB" w:rsidRPr="00021871" w:rsidRDefault="001E24EB" w:rsidP="001E24EB">
            <w:pPr>
              <w:rPr>
                <w:rFonts w:ascii="Times New Roman" w:hAnsi="Times New Roman" w:cs="Times New Roman"/>
                <w:b/>
                <w:sz w:val="24"/>
                <w:szCs w:val="24"/>
              </w:rPr>
            </w:pPr>
          </w:p>
        </w:tc>
      </w:tr>
      <w:tr w:rsidR="001E24EB" w14:paraId="41BCB9FA" w14:textId="77777777" w:rsidTr="003B13E2">
        <w:trPr>
          <w:trHeight w:val="291"/>
        </w:trPr>
        <w:tc>
          <w:tcPr>
            <w:tcW w:w="557" w:type="dxa"/>
          </w:tcPr>
          <w:p w14:paraId="419E2054" w14:textId="729A0F58"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sz w:val="24"/>
                <w:szCs w:val="24"/>
              </w:rPr>
              <w:t>4</w:t>
            </w:r>
          </w:p>
        </w:tc>
        <w:tc>
          <w:tcPr>
            <w:tcW w:w="2068" w:type="dxa"/>
          </w:tcPr>
          <w:p w14:paraId="6A4AFB86" w14:textId="3E8C0E7F" w:rsidR="001E24EB" w:rsidRPr="00021871" w:rsidRDefault="001E24EB" w:rsidP="001E24EB">
            <w:pPr>
              <w:rPr>
                <w:rFonts w:ascii="Times New Roman" w:hAnsi="Times New Roman" w:cs="Times New Roman"/>
                <w:b/>
                <w:sz w:val="24"/>
                <w:szCs w:val="24"/>
              </w:rPr>
            </w:pPr>
            <w:r w:rsidRPr="00021871">
              <w:rPr>
                <w:rFonts w:ascii="Times New Roman" w:hAnsi="Times New Roman" w:cs="Times New Roman"/>
                <w:b/>
                <w:sz w:val="24"/>
                <w:szCs w:val="24"/>
              </w:rPr>
              <w:t>Çështja B4</w:t>
            </w:r>
            <w:r w:rsidRPr="00021871">
              <w:rPr>
                <w:rFonts w:ascii="Times New Roman" w:hAnsi="Times New Roman" w:cs="Times New Roman"/>
                <w:sz w:val="24"/>
                <w:szCs w:val="24"/>
              </w:rPr>
              <w:t xml:space="preserve"> – Emërimi dhe angazhimi i zyrtarëve në kundërshtim me ligjin</w:t>
            </w:r>
          </w:p>
        </w:tc>
        <w:tc>
          <w:tcPr>
            <w:tcW w:w="3945" w:type="dxa"/>
          </w:tcPr>
          <w:p w14:paraId="59A028AF" w14:textId="228045C4"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Kryetari duhet të sigurojë zbatimin e procedurave të prokurimit dhe që angazhimi të bëhet vetëm për punë specifike me kërkesë të arsyeshme.</w:t>
            </w:r>
          </w:p>
        </w:tc>
        <w:tc>
          <w:tcPr>
            <w:tcW w:w="2082" w:type="dxa"/>
          </w:tcPr>
          <w:p w14:paraId="704595B7" w14:textId="7F605DBF"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Do të merren masat e nevojshme për zbatim të ligjit dhe rregulloreve përkatëse</w:t>
            </w:r>
          </w:p>
        </w:tc>
        <w:tc>
          <w:tcPr>
            <w:tcW w:w="2060" w:type="dxa"/>
          </w:tcPr>
          <w:p w14:paraId="388D8D02" w14:textId="30F1DD65" w:rsidR="001E24EB" w:rsidRPr="00021871" w:rsidRDefault="001E24EB" w:rsidP="001E24EB">
            <w:pPr>
              <w:rPr>
                <w:rFonts w:ascii="Times New Roman" w:eastAsia="Times New Roman" w:hAnsi="Times New Roman" w:cs="Times New Roman"/>
                <w:sz w:val="24"/>
                <w:szCs w:val="24"/>
              </w:rPr>
            </w:pPr>
            <w:r w:rsidRPr="00021871">
              <w:rPr>
                <w:rFonts w:ascii="Times New Roman" w:hAnsi="Times New Roman" w:cs="Times New Roman"/>
                <w:sz w:val="24"/>
                <w:szCs w:val="24"/>
              </w:rPr>
              <w:t>Zyra e Kryetarit; Zyra Ligjore</w:t>
            </w:r>
          </w:p>
        </w:tc>
        <w:tc>
          <w:tcPr>
            <w:tcW w:w="1440" w:type="dxa"/>
          </w:tcPr>
          <w:p w14:paraId="29676590" w14:textId="7CDBF74B" w:rsidR="001E24EB" w:rsidRPr="00021871" w:rsidRDefault="001E24EB" w:rsidP="001E24EB">
            <w:pPr>
              <w:rPr>
                <w:rFonts w:ascii="Times New Roman" w:hAnsi="Times New Roman" w:cs="Times New Roman"/>
                <w:sz w:val="24"/>
                <w:szCs w:val="24"/>
              </w:rPr>
            </w:pPr>
            <w:r w:rsidRPr="00021871">
              <w:rPr>
                <w:rFonts w:ascii="Times New Roman" w:hAnsi="Times New Roman" w:cs="Times New Roman"/>
                <w:sz w:val="24"/>
                <w:szCs w:val="24"/>
              </w:rPr>
              <w:t>Dhj</w:t>
            </w:r>
            <w:r w:rsidR="00021871" w:rsidRPr="00021871">
              <w:rPr>
                <w:rFonts w:ascii="Times New Roman" w:hAnsi="Times New Roman" w:cs="Times New Roman"/>
                <w:sz w:val="24"/>
                <w:szCs w:val="24"/>
              </w:rPr>
              <w:t>etor 2025</w:t>
            </w:r>
          </w:p>
        </w:tc>
        <w:tc>
          <w:tcPr>
            <w:tcW w:w="2020" w:type="dxa"/>
          </w:tcPr>
          <w:p w14:paraId="7EB00500" w14:textId="77777777" w:rsidR="001E24EB" w:rsidRPr="00021871" w:rsidRDefault="001E24EB" w:rsidP="001E24EB">
            <w:pPr>
              <w:rPr>
                <w:rFonts w:ascii="Times New Roman" w:hAnsi="Times New Roman" w:cs="Times New Roman"/>
                <w:b/>
                <w:sz w:val="24"/>
                <w:szCs w:val="24"/>
              </w:rPr>
            </w:pPr>
          </w:p>
        </w:tc>
      </w:tr>
      <w:tr w:rsidR="00021871" w14:paraId="13B355F1" w14:textId="77777777" w:rsidTr="003B13E2">
        <w:trPr>
          <w:trHeight w:val="291"/>
        </w:trPr>
        <w:tc>
          <w:tcPr>
            <w:tcW w:w="557" w:type="dxa"/>
          </w:tcPr>
          <w:p w14:paraId="60061DE6" w14:textId="7D8D35FD" w:rsidR="00021871" w:rsidRPr="00021871" w:rsidRDefault="00021871" w:rsidP="00021871">
            <w:pPr>
              <w:rPr>
                <w:rFonts w:ascii="Times New Roman" w:hAnsi="Times New Roman" w:cs="Times New Roman"/>
                <w:b/>
                <w:sz w:val="24"/>
                <w:szCs w:val="24"/>
              </w:rPr>
            </w:pPr>
            <w:r w:rsidRPr="00021871">
              <w:rPr>
                <w:rFonts w:ascii="Times New Roman" w:hAnsi="Times New Roman" w:cs="Times New Roman"/>
                <w:b/>
                <w:sz w:val="24"/>
                <w:szCs w:val="24"/>
              </w:rPr>
              <w:lastRenderedPageBreak/>
              <w:t xml:space="preserve">5. </w:t>
            </w:r>
          </w:p>
        </w:tc>
        <w:tc>
          <w:tcPr>
            <w:tcW w:w="2068" w:type="dxa"/>
          </w:tcPr>
          <w:p w14:paraId="65B5DF30" w14:textId="5D8170CE" w:rsidR="00021871" w:rsidRPr="00021871" w:rsidRDefault="00021871" w:rsidP="00021871">
            <w:pPr>
              <w:rPr>
                <w:rFonts w:ascii="Times New Roman" w:hAnsi="Times New Roman" w:cs="Times New Roman"/>
                <w:b/>
                <w:sz w:val="24"/>
                <w:szCs w:val="24"/>
              </w:rPr>
            </w:pPr>
            <w:r w:rsidRPr="00021871">
              <w:rPr>
                <w:rFonts w:ascii="Times New Roman" w:hAnsi="Times New Roman" w:cs="Times New Roman"/>
                <w:b/>
                <w:sz w:val="24"/>
                <w:szCs w:val="24"/>
              </w:rPr>
              <w:t xml:space="preserve">Çështja B5 - </w:t>
            </w:r>
            <w:r w:rsidRPr="00021871">
              <w:rPr>
                <w:rFonts w:ascii="Times New Roman" w:hAnsi="Times New Roman" w:cs="Times New Roman"/>
                <w:sz w:val="24"/>
                <w:szCs w:val="24"/>
              </w:rPr>
              <w:t>Mangësi në menaxhimin e të hyrave nga tatimi në pronë</w:t>
            </w:r>
          </w:p>
        </w:tc>
        <w:tc>
          <w:tcPr>
            <w:tcW w:w="3945" w:type="dxa"/>
          </w:tcPr>
          <w:p w14:paraId="0D401E17" w14:textId="757DB0F3"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Kryetari duhet të shtoj kontrollet që të sigurojë se bëhet vlerësim i saktë i tatimit në pronë për tatimpaguesit. Pastaj të sigurojë një koordinim më të mirë ndërmjet komunës dhe departamentit të tatimit në pronë në kuadër të Ministrisë së Financave, me qëllim të përmirësimit/azhurnimit të shënimeve në bazën e të dhënave.</w:t>
            </w:r>
          </w:p>
        </w:tc>
        <w:tc>
          <w:tcPr>
            <w:tcW w:w="2082" w:type="dxa"/>
          </w:tcPr>
          <w:p w14:paraId="6FCF102D" w14:textId="5BF24A15"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Do të verifikohet gjendja faktike dhe do të merren masat për implementim</w:t>
            </w:r>
          </w:p>
        </w:tc>
        <w:tc>
          <w:tcPr>
            <w:tcW w:w="2060" w:type="dxa"/>
          </w:tcPr>
          <w:p w14:paraId="75AC748C" w14:textId="1BC85AAD"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Zyra e Tatimit në Pronë</w:t>
            </w:r>
          </w:p>
        </w:tc>
        <w:tc>
          <w:tcPr>
            <w:tcW w:w="1440" w:type="dxa"/>
          </w:tcPr>
          <w:p w14:paraId="740015C5" w14:textId="6B89BECF"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Dhjetor  2025</w:t>
            </w:r>
          </w:p>
        </w:tc>
        <w:tc>
          <w:tcPr>
            <w:tcW w:w="2020" w:type="dxa"/>
          </w:tcPr>
          <w:p w14:paraId="42500A99" w14:textId="77777777" w:rsidR="00021871" w:rsidRPr="00021871" w:rsidRDefault="00021871" w:rsidP="00021871">
            <w:pPr>
              <w:rPr>
                <w:rFonts w:ascii="Times New Roman" w:hAnsi="Times New Roman" w:cs="Times New Roman"/>
                <w:b/>
                <w:sz w:val="24"/>
                <w:szCs w:val="24"/>
              </w:rPr>
            </w:pPr>
          </w:p>
        </w:tc>
      </w:tr>
      <w:tr w:rsidR="00021871" w14:paraId="1C15B55D" w14:textId="77777777" w:rsidTr="003B13E2">
        <w:trPr>
          <w:trHeight w:val="291"/>
        </w:trPr>
        <w:tc>
          <w:tcPr>
            <w:tcW w:w="557" w:type="dxa"/>
          </w:tcPr>
          <w:p w14:paraId="014FEBC5" w14:textId="71FB7B5A" w:rsidR="00021871" w:rsidRPr="00021871" w:rsidRDefault="00021871" w:rsidP="00021871">
            <w:pPr>
              <w:rPr>
                <w:rFonts w:ascii="Times New Roman" w:hAnsi="Times New Roman" w:cs="Times New Roman"/>
                <w:b/>
                <w:sz w:val="24"/>
                <w:szCs w:val="24"/>
              </w:rPr>
            </w:pPr>
            <w:r w:rsidRPr="00021871">
              <w:rPr>
                <w:rFonts w:ascii="Times New Roman" w:hAnsi="Times New Roman" w:cs="Times New Roman"/>
                <w:b/>
                <w:sz w:val="24"/>
                <w:szCs w:val="24"/>
              </w:rPr>
              <w:t>6.</w:t>
            </w:r>
          </w:p>
        </w:tc>
        <w:tc>
          <w:tcPr>
            <w:tcW w:w="2068" w:type="dxa"/>
          </w:tcPr>
          <w:p w14:paraId="721498DD" w14:textId="57BE9D83" w:rsidR="00021871" w:rsidRPr="00021871" w:rsidRDefault="00021871" w:rsidP="00021871">
            <w:pPr>
              <w:rPr>
                <w:rFonts w:ascii="Times New Roman" w:hAnsi="Times New Roman" w:cs="Times New Roman"/>
                <w:b/>
                <w:sz w:val="24"/>
                <w:szCs w:val="24"/>
              </w:rPr>
            </w:pPr>
            <w:r w:rsidRPr="00021871">
              <w:rPr>
                <w:rFonts w:ascii="Times New Roman" w:hAnsi="Times New Roman" w:cs="Times New Roman"/>
                <w:b/>
                <w:sz w:val="24"/>
                <w:szCs w:val="24"/>
              </w:rPr>
              <w:t xml:space="preserve">Çështja A1 - </w:t>
            </w:r>
            <w:r w:rsidRPr="00021871">
              <w:rPr>
                <w:rFonts w:ascii="Times New Roman" w:hAnsi="Times New Roman" w:cs="Times New Roman"/>
                <w:sz w:val="24"/>
                <w:szCs w:val="24"/>
              </w:rPr>
              <w:t xml:space="preserve">Menaxhim jo efikas i llogarive të </w:t>
            </w:r>
            <w:proofErr w:type="spellStart"/>
            <w:r w:rsidRPr="00021871">
              <w:rPr>
                <w:rFonts w:ascii="Times New Roman" w:hAnsi="Times New Roman" w:cs="Times New Roman"/>
                <w:sz w:val="24"/>
                <w:szCs w:val="24"/>
              </w:rPr>
              <w:t>arkëtueshme</w:t>
            </w:r>
            <w:proofErr w:type="spellEnd"/>
          </w:p>
        </w:tc>
        <w:tc>
          <w:tcPr>
            <w:tcW w:w="3945" w:type="dxa"/>
          </w:tcPr>
          <w:p w14:paraId="1B394E40" w14:textId="46AD8E9E"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 xml:space="preserve">Kryetari duhet të siguroj që po shqyrtohen në mënyrë aktive të gjitha opsionet e mundshme, duke vendosur politika, rregullore dhe mekanizma tjerë me qëllim të rritjes së efikasitetit në mbledhjen e të </w:t>
            </w:r>
            <w:proofErr w:type="spellStart"/>
            <w:r w:rsidRPr="00021871">
              <w:rPr>
                <w:rFonts w:ascii="Times New Roman" w:hAnsi="Times New Roman" w:cs="Times New Roman"/>
                <w:sz w:val="24"/>
                <w:szCs w:val="24"/>
              </w:rPr>
              <w:t>arkëtueshmeve</w:t>
            </w:r>
            <w:proofErr w:type="spellEnd"/>
            <w:r w:rsidRPr="00021871">
              <w:rPr>
                <w:rFonts w:ascii="Times New Roman" w:hAnsi="Times New Roman" w:cs="Times New Roman"/>
                <w:sz w:val="24"/>
                <w:szCs w:val="24"/>
              </w:rPr>
              <w:t>. Po ashtu, duhet shqyrtuar të gjitha masat në pajtim me ligjin, ndaj debitorëve të cilët nuk i përmbushin obligimet.</w:t>
            </w:r>
          </w:p>
        </w:tc>
        <w:tc>
          <w:tcPr>
            <w:tcW w:w="2082" w:type="dxa"/>
          </w:tcPr>
          <w:p w14:paraId="007BA4ED" w14:textId="121ACFDA"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Zyrtarët përkatës do të marrin masat e duhura për implementim</w:t>
            </w:r>
          </w:p>
        </w:tc>
        <w:tc>
          <w:tcPr>
            <w:tcW w:w="2060" w:type="dxa"/>
          </w:tcPr>
          <w:p w14:paraId="2272CA01" w14:textId="2940178D"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Drejtoria për Buxhet dhe Financa; Zyra e Tatimit në Pronë</w:t>
            </w:r>
          </w:p>
        </w:tc>
        <w:tc>
          <w:tcPr>
            <w:tcW w:w="1440" w:type="dxa"/>
          </w:tcPr>
          <w:p w14:paraId="28BC3ACB" w14:textId="17B17152" w:rsidR="00021871" w:rsidRPr="00021871" w:rsidRDefault="00021871" w:rsidP="00021871">
            <w:pPr>
              <w:rPr>
                <w:rFonts w:ascii="Times New Roman" w:hAnsi="Times New Roman" w:cs="Times New Roman"/>
                <w:sz w:val="24"/>
                <w:szCs w:val="24"/>
              </w:rPr>
            </w:pPr>
            <w:r w:rsidRPr="00021871">
              <w:rPr>
                <w:rFonts w:ascii="Times New Roman" w:hAnsi="Times New Roman" w:cs="Times New Roman"/>
                <w:sz w:val="24"/>
                <w:szCs w:val="24"/>
              </w:rPr>
              <w:t>Dhjetor 2025</w:t>
            </w:r>
          </w:p>
        </w:tc>
        <w:tc>
          <w:tcPr>
            <w:tcW w:w="2020" w:type="dxa"/>
          </w:tcPr>
          <w:p w14:paraId="58284617" w14:textId="77777777" w:rsidR="00021871" w:rsidRPr="00021871" w:rsidRDefault="00021871" w:rsidP="00021871">
            <w:pPr>
              <w:rPr>
                <w:rFonts w:ascii="Times New Roman" w:hAnsi="Times New Roman" w:cs="Times New Roman"/>
                <w:b/>
                <w:sz w:val="24"/>
                <w:szCs w:val="24"/>
              </w:rPr>
            </w:pPr>
          </w:p>
        </w:tc>
      </w:tr>
      <w:tr w:rsidR="009C1F39" w14:paraId="2AFE634D" w14:textId="77777777" w:rsidTr="003B13E2">
        <w:trPr>
          <w:trHeight w:val="291"/>
        </w:trPr>
        <w:tc>
          <w:tcPr>
            <w:tcW w:w="557" w:type="dxa"/>
          </w:tcPr>
          <w:p w14:paraId="5D19BDBA" w14:textId="4D76BE25" w:rsidR="009C1F39" w:rsidRPr="00021871" w:rsidRDefault="009C1F39" w:rsidP="009C1F39">
            <w:pPr>
              <w:rPr>
                <w:rFonts w:ascii="Times New Roman" w:hAnsi="Times New Roman" w:cs="Times New Roman"/>
                <w:b/>
                <w:sz w:val="24"/>
                <w:szCs w:val="24"/>
              </w:rPr>
            </w:pPr>
            <w:r w:rsidRPr="00021871">
              <w:rPr>
                <w:rFonts w:ascii="Times New Roman" w:hAnsi="Times New Roman" w:cs="Times New Roman"/>
                <w:b/>
                <w:sz w:val="24"/>
                <w:szCs w:val="24"/>
              </w:rPr>
              <w:t xml:space="preserve">7. </w:t>
            </w:r>
          </w:p>
        </w:tc>
        <w:tc>
          <w:tcPr>
            <w:tcW w:w="2068" w:type="dxa"/>
          </w:tcPr>
          <w:p w14:paraId="3F90791D" w14:textId="0DEFE615" w:rsidR="009C1F39" w:rsidRPr="00021871" w:rsidRDefault="009C1F39" w:rsidP="009C1F39">
            <w:pPr>
              <w:rPr>
                <w:rFonts w:ascii="Times New Roman" w:hAnsi="Times New Roman" w:cs="Times New Roman"/>
                <w:b/>
                <w:sz w:val="24"/>
                <w:szCs w:val="24"/>
              </w:rPr>
            </w:pPr>
            <w:r w:rsidRPr="00021871">
              <w:rPr>
                <w:rFonts w:ascii="Times New Roman" w:hAnsi="Times New Roman" w:cs="Times New Roman"/>
                <w:b/>
                <w:sz w:val="24"/>
                <w:szCs w:val="24"/>
              </w:rPr>
              <w:t xml:space="preserve">Çështja B6 - </w:t>
            </w:r>
            <w:r w:rsidRPr="00021871">
              <w:rPr>
                <w:rFonts w:ascii="Times New Roman" w:hAnsi="Times New Roman" w:cs="Times New Roman"/>
                <w:sz w:val="24"/>
                <w:szCs w:val="24"/>
              </w:rPr>
              <w:t xml:space="preserve">Mungesa e stafit dhe planeve të veprimit në adresimin e rekomandimeve të </w:t>
            </w:r>
            <w:proofErr w:type="spellStart"/>
            <w:r w:rsidRPr="00021871">
              <w:rPr>
                <w:rFonts w:ascii="Times New Roman" w:hAnsi="Times New Roman" w:cs="Times New Roman"/>
                <w:sz w:val="24"/>
                <w:szCs w:val="24"/>
              </w:rPr>
              <w:t>NjAB</w:t>
            </w:r>
            <w:proofErr w:type="spellEnd"/>
            <w:r w:rsidRPr="00021871">
              <w:rPr>
                <w:rFonts w:ascii="Times New Roman" w:hAnsi="Times New Roman" w:cs="Times New Roman"/>
                <w:sz w:val="24"/>
                <w:szCs w:val="24"/>
              </w:rPr>
              <w:t>-s</w:t>
            </w:r>
          </w:p>
        </w:tc>
        <w:tc>
          <w:tcPr>
            <w:tcW w:w="3945" w:type="dxa"/>
          </w:tcPr>
          <w:p w14:paraId="248320A2" w14:textId="42FA8111" w:rsidR="009C1F39" w:rsidRPr="00021871" w:rsidRDefault="00021871" w:rsidP="009C1F39">
            <w:pPr>
              <w:rPr>
                <w:rFonts w:ascii="Times New Roman" w:hAnsi="Times New Roman" w:cs="Times New Roman"/>
                <w:sz w:val="24"/>
                <w:szCs w:val="24"/>
              </w:rPr>
            </w:pPr>
            <w:r w:rsidRPr="00021871">
              <w:rPr>
                <w:rFonts w:ascii="Times New Roman" w:hAnsi="Times New Roman" w:cs="Times New Roman"/>
                <w:sz w:val="24"/>
                <w:szCs w:val="24"/>
              </w:rPr>
              <w:t xml:space="preserve">Kryetari duhet të ndërmarrë masa për sigurimin e buxhetit për plotësimin e strukturës së </w:t>
            </w:r>
            <w:proofErr w:type="spellStart"/>
            <w:r w:rsidRPr="00021871">
              <w:rPr>
                <w:rFonts w:ascii="Times New Roman" w:hAnsi="Times New Roman" w:cs="Times New Roman"/>
                <w:sz w:val="24"/>
                <w:szCs w:val="24"/>
              </w:rPr>
              <w:t>NjAB</w:t>
            </w:r>
            <w:proofErr w:type="spellEnd"/>
            <w:r w:rsidRPr="00021871">
              <w:rPr>
                <w:rFonts w:ascii="Times New Roman" w:hAnsi="Times New Roman" w:cs="Times New Roman"/>
                <w:sz w:val="24"/>
                <w:szCs w:val="24"/>
              </w:rPr>
              <w:t xml:space="preserve">-së me auditorë të mjaftueshëm dhe të kërkojë plane konkrete veprimi nga njësitë e </w:t>
            </w:r>
            <w:proofErr w:type="spellStart"/>
            <w:r w:rsidRPr="00021871">
              <w:rPr>
                <w:rFonts w:ascii="Times New Roman" w:hAnsi="Times New Roman" w:cs="Times New Roman"/>
                <w:sz w:val="24"/>
                <w:szCs w:val="24"/>
              </w:rPr>
              <w:t>audituara</w:t>
            </w:r>
            <w:proofErr w:type="spellEnd"/>
            <w:r w:rsidRPr="00021871">
              <w:rPr>
                <w:rFonts w:ascii="Times New Roman" w:hAnsi="Times New Roman" w:cs="Times New Roman"/>
                <w:sz w:val="24"/>
                <w:szCs w:val="24"/>
              </w:rPr>
              <w:t>.</w:t>
            </w:r>
          </w:p>
        </w:tc>
        <w:tc>
          <w:tcPr>
            <w:tcW w:w="2082" w:type="dxa"/>
          </w:tcPr>
          <w:p w14:paraId="5587AB2F" w14:textId="16638DCA" w:rsidR="009C1F39" w:rsidRPr="00021871" w:rsidRDefault="00021871" w:rsidP="009C1F39">
            <w:pPr>
              <w:rPr>
                <w:rFonts w:ascii="Times New Roman" w:hAnsi="Times New Roman" w:cs="Times New Roman"/>
                <w:sz w:val="24"/>
                <w:szCs w:val="24"/>
              </w:rPr>
            </w:pPr>
            <w:r w:rsidRPr="00021871">
              <w:rPr>
                <w:rFonts w:ascii="Times New Roman" w:hAnsi="Times New Roman" w:cs="Times New Roman"/>
                <w:sz w:val="24"/>
                <w:szCs w:val="24"/>
              </w:rPr>
              <w:t>Kryetari do të ndërmarrë masat e nevojshme për përmirësimin e kësaj çështjeje</w:t>
            </w:r>
          </w:p>
        </w:tc>
        <w:tc>
          <w:tcPr>
            <w:tcW w:w="2060" w:type="dxa"/>
          </w:tcPr>
          <w:p w14:paraId="50BF1D17" w14:textId="41FB07B3" w:rsidR="009C1F39" w:rsidRPr="00021871" w:rsidRDefault="00021871" w:rsidP="009C1F39">
            <w:pPr>
              <w:rPr>
                <w:rFonts w:ascii="Times New Roman" w:hAnsi="Times New Roman" w:cs="Times New Roman"/>
                <w:sz w:val="24"/>
                <w:szCs w:val="24"/>
              </w:rPr>
            </w:pPr>
            <w:r w:rsidRPr="00021871">
              <w:rPr>
                <w:rFonts w:ascii="Times New Roman" w:hAnsi="Times New Roman" w:cs="Times New Roman"/>
                <w:sz w:val="24"/>
                <w:szCs w:val="24"/>
              </w:rPr>
              <w:t>Zyra e Personelit; Zyra e Auditorëve të Brendshëm</w:t>
            </w:r>
          </w:p>
        </w:tc>
        <w:tc>
          <w:tcPr>
            <w:tcW w:w="1440" w:type="dxa"/>
          </w:tcPr>
          <w:p w14:paraId="4ECBCE3A" w14:textId="1CAFA163" w:rsidR="009C1F39" w:rsidRPr="00021871" w:rsidRDefault="00021871" w:rsidP="009C1F39">
            <w:pPr>
              <w:rPr>
                <w:rFonts w:ascii="Times New Roman" w:hAnsi="Times New Roman" w:cs="Times New Roman"/>
                <w:sz w:val="24"/>
                <w:szCs w:val="24"/>
              </w:rPr>
            </w:pPr>
            <w:r w:rsidRPr="00021871">
              <w:rPr>
                <w:rFonts w:ascii="Times New Roman" w:hAnsi="Times New Roman" w:cs="Times New Roman"/>
                <w:sz w:val="24"/>
                <w:szCs w:val="24"/>
              </w:rPr>
              <w:t>Dhjetor 2025</w:t>
            </w:r>
          </w:p>
        </w:tc>
        <w:tc>
          <w:tcPr>
            <w:tcW w:w="2020" w:type="dxa"/>
          </w:tcPr>
          <w:p w14:paraId="7BB35CDC" w14:textId="77777777" w:rsidR="009C1F39" w:rsidRPr="00021871" w:rsidRDefault="009C1F39" w:rsidP="009C1F39">
            <w:pPr>
              <w:rPr>
                <w:rFonts w:ascii="Times New Roman" w:hAnsi="Times New Roman" w:cs="Times New Roman"/>
                <w:b/>
                <w:sz w:val="24"/>
                <w:szCs w:val="24"/>
              </w:rPr>
            </w:pPr>
          </w:p>
        </w:tc>
      </w:tr>
    </w:tbl>
    <w:p w14:paraId="44FF7F7D" w14:textId="77609DDF" w:rsidR="00537E3E" w:rsidRDefault="00537E3E" w:rsidP="003B13E2">
      <w:pPr>
        <w:spacing w:after="0"/>
        <w:rPr>
          <w:rFonts w:ascii="Times New Roman" w:hAnsi="Times New Roman" w:cs="Times New Roman"/>
          <w:b/>
          <w:sz w:val="24"/>
          <w:szCs w:val="24"/>
        </w:rPr>
      </w:pPr>
    </w:p>
    <w:p w14:paraId="18CAB5EE" w14:textId="77777777" w:rsidR="00537E3E" w:rsidRDefault="00537E3E" w:rsidP="00A37949">
      <w:pPr>
        <w:spacing w:after="0"/>
        <w:jc w:val="right"/>
        <w:rPr>
          <w:rFonts w:ascii="Times New Roman" w:hAnsi="Times New Roman" w:cs="Times New Roman"/>
          <w:b/>
          <w:sz w:val="24"/>
          <w:szCs w:val="24"/>
        </w:rPr>
      </w:pPr>
    </w:p>
    <w:p w14:paraId="33B224EF" w14:textId="77777777" w:rsidR="00537E3E" w:rsidRDefault="00537E3E" w:rsidP="00A37949">
      <w:pPr>
        <w:spacing w:after="0"/>
        <w:jc w:val="right"/>
        <w:rPr>
          <w:rFonts w:ascii="Times New Roman" w:hAnsi="Times New Roman" w:cs="Times New Roman"/>
          <w:b/>
          <w:sz w:val="24"/>
          <w:szCs w:val="24"/>
        </w:rPr>
      </w:pPr>
    </w:p>
    <w:p w14:paraId="543FA483" w14:textId="77777777" w:rsidR="00A93DD8"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6A3AA7">
        <w:rPr>
          <w:rFonts w:ascii="Times New Roman" w:hAnsi="Times New Roman" w:cs="Times New Roman"/>
          <w:b/>
          <w:sz w:val="24"/>
          <w:szCs w:val="24"/>
        </w:rPr>
        <w:t>Kryetari i Komunë</w:t>
      </w:r>
      <w:r>
        <w:rPr>
          <w:rFonts w:ascii="Times New Roman" w:hAnsi="Times New Roman" w:cs="Times New Roman"/>
          <w:b/>
          <w:sz w:val="24"/>
          <w:szCs w:val="24"/>
        </w:rPr>
        <w:t>s</w:t>
      </w:r>
    </w:p>
    <w:p w14:paraId="28971E91" w14:textId="1EFB6A7C"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Z.</w:t>
      </w:r>
      <w:r w:rsidR="00BC6DC2">
        <w:rPr>
          <w:rFonts w:ascii="Times New Roman" w:hAnsi="Times New Roman" w:cs="Times New Roman"/>
          <w:b/>
          <w:sz w:val="24"/>
          <w:szCs w:val="24"/>
        </w:rPr>
        <w:t xml:space="preserve"> </w:t>
      </w:r>
      <w:r>
        <w:rPr>
          <w:rFonts w:ascii="Times New Roman" w:hAnsi="Times New Roman" w:cs="Times New Roman"/>
          <w:b/>
          <w:sz w:val="24"/>
          <w:szCs w:val="24"/>
        </w:rPr>
        <w:t>Bashkim Ramosaj</w:t>
      </w:r>
    </w:p>
    <w:p w14:paraId="487C6682" w14:textId="77777777" w:rsidR="00537E3E" w:rsidRDefault="00537E3E" w:rsidP="00A37949">
      <w:pPr>
        <w:spacing w:after="0"/>
        <w:jc w:val="center"/>
        <w:rPr>
          <w:rFonts w:ascii="Times New Roman" w:hAnsi="Times New Roman" w:cs="Times New Roman"/>
          <w:b/>
          <w:sz w:val="24"/>
          <w:szCs w:val="24"/>
        </w:rPr>
      </w:pPr>
    </w:p>
    <w:p w14:paraId="67756E27" w14:textId="77777777"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__________________</w:t>
      </w:r>
    </w:p>
    <w:p w14:paraId="1F0FC1B6" w14:textId="77777777" w:rsidR="00A37949" w:rsidRDefault="00A37949" w:rsidP="00B4525A">
      <w:pPr>
        <w:rPr>
          <w:rFonts w:ascii="Times New Roman" w:hAnsi="Times New Roman" w:cs="Times New Roman"/>
          <w:b/>
          <w:sz w:val="24"/>
          <w:szCs w:val="24"/>
        </w:rPr>
      </w:pPr>
    </w:p>
    <w:p w14:paraId="29A28931" w14:textId="7D9A4BA9" w:rsidR="00A37949" w:rsidRPr="00A37949" w:rsidRDefault="00537E3E" w:rsidP="00CD4511">
      <w:pPr>
        <w:jc w:val="center"/>
        <w:rPr>
          <w:rFonts w:ascii="Times New Roman" w:hAnsi="Times New Roman" w:cs="Times New Roman"/>
          <w:sz w:val="20"/>
          <w:szCs w:val="20"/>
        </w:rPr>
      </w:pPr>
      <w:r>
        <w:rPr>
          <w:rFonts w:ascii="Times New Roman" w:hAnsi="Times New Roman" w:cs="Times New Roman"/>
          <w:sz w:val="20"/>
          <w:szCs w:val="20"/>
        </w:rPr>
        <w:t>Deçan 202</w:t>
      </w:r>
      <w:r w:rsidR="003B13E2">
        <w:rPr>
          <w:rFonts w:ascii="Times New Roman" w:hAnsi="Times New Roman" w:cs="Times New Roman"/>
          <w:sz w:val="20"/>
          <w:szCs w:val="20"/>
        </w:rPr>
        <w:t>5</w:t>
      </w:r>
      <w:bookmarkStart w:id="0" w:name="_GoBack"/>
      <w:bookmarkEnd w:id="0"/>
    </w:p>
    <w:sectPr w:rsidR="00A37949" w:rsidRPr="00A37949" w:rsidSect="00581D63">
      <w:pgSz w:w="15840" w:h="12240" w:orient="landscape"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DF54" w14:textId="77777777" w:rsidR="00694B95" w:rsidRDefault="00694B95" w:rsidP="00B4525A">
      <w:pPr>
        <w:spacing w:after="0" w:line="240" w:lineRule="auto"/>
      </w:pPr>
      <w:r>
        <w:separator/>
      </w:r>
    </w:p>
  </w:endnote>
  <w:endnote w:type="continuationSeparator" w:id="0">
    <w:p w14:paraId="63E357D5" w14:textId="77777777" w:rsidR="00694B95" w:rsidRDefault="00694B95" w:rsidP="00B4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3967" w14:textId="77777777" w:rsidR="00694B95" w:rsidRDefault="00694B95" w:rsidP="00B4525A">
      <w:pPr>
        <w:spacing w:after="0" w:line="240" w:lineRule="auto"/>
      </w:pPr>
      <w:r>
        <w:separator/>
      </w:r>
    </w:p>
  </w:footnote>
  <w:footnote w:type="continuationSeparator" w:id="0">
    <w:p w14:paraId="42A1AAE5" w14:textId="77777777" w:rsidR="00694B95" w:rsidRDefault="00694B95" w:rsidP="00B4525A">
      <w:pPr>
        <w:spacing w:after="0" w:line="240" w:lineRule="auto"/>
      </w:pPr>
      <w:r>
        <w:continuationSeparator/>
      </w:r>
    </w:p>
  </w:footnote>
  <w:footnote w:id="1">
    <w:p w14:paraId="6CADE76E" w14:textId="581BE49C" w:rsidR="00FF6ED1" w:rsidRPr="00FF6ED1" w:rsidRDefault="00FF6ED1">
      <w:pPr>
        <w:pStyle w:val="FootnoteText"/>
        <w:rPr>
          <w:lang w:val="en-US"/>
        </w:rPr>
      </w:pPr>
      <w:r>
        <w:rPr>
          <w:rStyle w:val="FootnoteReference"/>
        </w:rPr>
        <w:footnoteRef/>
      </w:r>
      <w:r>
        <w:t xml:space="preserve"> </w:t>
      </w:r>
      <w:hyperlink r:id="rId1" w:history="1">
        <w:r w:rsidR="001852BF" w:rsidRPr="00A8375B">
          <w:rPr>
            <w:rStyle w:val="Hyperlink"/>
          </w:rPr>
          <w:t>https://zka-rks.org/cms/ReportFiles/2025_a196d206-4cb2-4b27-87ba-fc495548ee31.pdf</w:t>
        </w:r>
      </w:hyperlink>
      <w:r w:rsidR="001852BF">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5A"/>
    <w:rsid w:val="000200BA"/>
    <w:rsid w:val="00021871"/>
    <w:rsid w:val="00076B78"/>
    <w:rsid w:val="00077544"/>
    <w:rsid w:val="00082916"/>
    <w:rsid w:val="00137338"/>
    <w:rsid w:val="001852BF"/>
    <w:rsid w:val="001B0D2E"/>
    <w:rsid w:val="001D7631"/>
    <w:rsid w:val="001E24EB"/>
    <w:rsid w:val="00221A11"/>
    <w:rsid w:val="002372E5"/>
    <w:rsid w:val="0026528A"/>
    <w:rsid w:val="0027710B"/>
    <w:rsid w:val="002A6DB7"/>
    <w:rsid w:val="002F4B73"/>
    <w:rsid w:val="0031056F"/>
    <w:rsid w:val="00313465"/>
    <w:rsid w:val="00315AB3"/>
    <w:rsid w:val="00335B71"/>
    <w:rsid w:val="00344908"/>
    <w:rsid w:val="00351A7E"/>
    <w:rsid w:val="003922DB"/>
    <w:rsid w:val="003B13E2"/>
    <w:rsid w:val="003E00C9"/>
    <w:rsid w:val="00410EC1"/>
    <w:rsid w:val="00430571"/>
    <w:rsid w:val="00435478"/>
    <w:rsid w:val="00494A71"/>
    <w:rsid w:val="004F0B2C"/>
    <w:rsid w:val="004F73E7"/>
    <w:rsid w:val="005134BF"/>
    <w:rsid w:val="00537E3E"/>
    <w:rsid w:val="00581D63"/>
    <w:rsid w:val="005B71DE"/>
    <w:rsid w:val="005C5F73"/>
    <w:rsid w:val="006079E1"/>
    <w:rsid w:val="00634200"/>
    <w:rsid w:val="00670283"/>
    <w:rsid w:val="00677BE3"/>
    <w:rsid w:val="00694B95"/>
    <w:rsid w:val="006A3AA7"/>
    <w:rsid w:val="006C390E"/>
    <w:rsid w:val="006C5944"/>
    <w:rsid w:val="00713997"/>
    <w:rsid w:val="007A755E"/>
    <w:rsid w:val="007B2954"/>
    <w:rsid w:val="007B4DD7"/>
    <w:rsid w:val="007E0939"/>
    <w:rsid w:val="00835271"/>
    <w:rsid w:val="00842B64"/>
    <w:rsid w:val="00855B6D"/>
    <w:rsid w:val="00857D2A"/>
    <w:rsid w:val="00890564"/>
    <w:rsid w:val="008A1C7F"/>
    <w:rsid w:val="008B27E2"/>
    <w:rsid w:val="00954195"/>
    <w:rsid w:val="009B0329"/>
    <w:rsid w:val="009C1F39"/>
    <w:rsid w:val="009F2543"/>
    <w:rsid w:val="00A37949"/>
    <w:rsid w:val="00A536FE"/>
    <w:rsid w:val="00A56BAE"/>
    <w:rsid w:val="00A87D46"/>
    <w:rsid w:val="00A93DD8"/>
    <w:rsid w:val="00AA504B"/>
    <w:rsid w:val="00B11B83"/>
    <w:rsid w:val="00B4525A"/>
    <w:rsid w:val="00B6559E"/>
    <w:rsid w:val="00BC6DC2"/>
    <w:rsid w:val="00C52A5B"/>
    <w:rsid w:val="00C54D4F"/>
    <w:rsid w:val="00C76BEE"/>
    <w:rsid w:val="00C8495D"/>
    <w:rsid w:val="00C87427"/>
    <w:rsid w:val="00CA414F"/>
    <w:rsid w:val="00CC4F09"/>
    <w:rsid w:val="00CD4511"/>
    <w:rsid w:val="00CD5623"/>
    <w:rsid w:val="00D27941"/>
    <w:rsid w:val="00D32B06"/>
    <w:rsid w:val="00D57492"/>
    <w:rsid w:val="00D86EAF"/>
    <w:rsid w:val="00DC17AF"/>
    <w:rsid w:val="00DD604A"/>
    <w:rsid w:val="00DE18FC"/>
    <w:rsid w:val="00E14696"/>
    <w:rsid w:val="00E24585"/>
    <w:rsid w:val="00E61B33"/>
    <w:rsid w:val="00E86A6A"/>
    <w:rsid w:val="00ED5F0D"/>
    <w:rsid w:val="00F32683"/>
    <w:rsid w:val="00F377D0"/>
    <w:rsid w:val="00F4313F"/>
    <w:rsid w:val="00F551BA"/>
    <w:rsid w:val="00F718FB"/>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74D"/>
  <w15:chartTrackingRefBased/>
  <w15:docId w15:val="{51AE8BCC-7C09-48FD-A6EA-4075C60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D7"/>
    <w:rPr>
      <w:lang w:val="sq-AL"/>
    </w:rPr>
  </w:style>
  <w:style w:type="paragraph" w:styleId="Heading1">
    <w:name w:val="heading 1"/>
    <w:basedOn w:val="Normal"/>
    <w:next w:val="Normal"/>
    <w:link w:val="Heading1Char"/>
    <w:uiPriority w:val="9"/>
    <w:qFormat/>
    <w:rsid w:val="001E2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4E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5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5A"/>
    <w:rPr>
      <w:sz w:val="20"/>
      <w:szCs w:val="20"/>
      <w:lang w:val="sq-AL"/>
    </w:rPr>
  </w:style>
  <w:style w:type="character" w:styleId="FootnoteReference">
    <w:name w:val="footnote reference"/>
    <w:basedOn w:val="DefaultParagraphFont"/>
    <w:uiPriority w:val="99"/>
    <w:semiHidden/>
    <w:unhideWhenUsed/>
    <w:rsid w:val="00B4525A"/>
    <w:rPr>
      <w:vertAlign w:val="superscript"/>
    </w:rPr>
  </w:style>
  <w:style w:type="character" w:styleId="Hyperlink">
    <w:name w:val="Hyperlink"/>
    <w:basedOn w:val="DefaultParagraphFont"/>
    <w:uiPriority w:val="99"/>
    <w:unhideWhenUsed/>
    <w:rsid w:val="00B4525A"/>
    <w:rPr>
      <w:color w:val="0563C1" w:themeColor="hyperlink"/>
      <w:u w:val="single"/>
    </w:rPr>
  </w:style>
  <w:style w:type="paragraph" w:styleId="BalloonText">
    <w:name w:val="Balloon Text"/>
    <w:basedOn w:val="Normal"/>
    <w:link w:val="BalloonTextChar"/>
    <w:uiPriority w:val="99"/>
    <w:semiHidden/>
    <w:unhideWhenUsed/>
    <w:rsid w:val="00A9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D8"/>
    <w:rPr>
      <w:rFonts w:ascii="Segoe UI" w:hAnsi="Segoe UI" w:cs="Segoe UI"/>
      <w:sz w:val="18"/>
      <w:szCs w:val="18"/>
      <w:lang w:val="sq-AL"/>
    </w:rPr>
  </w:style>
  <w:style w:type="paragraph" w:styleId="BodyText">
    <w:name w:val="Body Text"/>
    <w:basedOn w:val="Normal"/>
    <w:link w:val="BodyTextChar"/>
    <w:uiPriority w:val="1"/>
    <w:qFormat/>
    <w:rsid w:val="009F254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9F2543"/>
    <w:rPr>
      <w:rFonts w:ascii="Microsoft Sans Serif" w:eastAsia="Microsoft Sans Serif" w:hAnsi="Microsoft Sans Serif" w:cs="Microsoft Sans Serif"/>
      <w:lang w:val="sq-AL"/>
    </w:rPr>
  </w:style>
  <w:style w:type="character" w:customStyle="1" w:styleId="UnresolvedMention">
    <w:name w:val="Unresolved Mention"/>
    <w:basedOn w:val="DefaultParagraphFont"/>
    <w:uiPriority w:val="99"/>
    <w:semiHidden/>
    <w:unhideWhenUsed/>
    <w:rsid w:val="006C390E"/>
    <w:rPr>
      <w:color w:val="605E5C"/>
      <w:shd w:val="clear" w:color="auto" w:fill="E1DFDD"/>
    </w:rPr>
  </w:style>
  <w:style w:type="character" w:customStyle="1" w:styleId="Heading2Char">
    <w:name w:val="Heading 2 Char"/>
    <w:basedOn w:val="DefaultParagraphFont"/>
    <w:link w:val="Heading2"/>
    <w:uiPriority w:val="9"/>
    <w:rsid w:val="001E24EB"/>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1E24EB"/>
    <w:rPr>
      <w:rFonts w:asciiTheme="majorHAnsi" w:eastAsiaTheme="majorEastAsia" w:hAnsiTheme="majorHAnsi" w:cstheme="majorBidi"/>
      <w:color w:val="2E74B5" w:themeColor="accent1" w:themeShade="BF"/>
      <w:sz w:val="32"/>
      <w:szCs w:val="32"/>
      <w:lang w:val="sq-AL"/>
    </w:rPr>
  </w:style>
  <w:style w:type="character" w:styleId="Strong">
    <w:name w:val="Strong"/>
    <w:basedOn w:val="DefaultParagraphFont"/>
    <w:uiPriority w:val="22"/>
    <w:qFormat/>
    <w:rsid w:val="00021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ka-rks.org/cms/ReportFiles/2025_a196d206-4cb2-4b27-87ba-fc495548ee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5EE4-799D-475E-A170-38C74883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Dafina Cacaj</cp:lastModifiedBy>
  <cp:revision>18</cp:revision>
  <cp:lastPrinted>2025-06-26T12:32:00Z</cp:lastPrinted>
  <dcterms:created xsi:type="dcterms:W3CDTF">2024-06-27T12:59:00Z</dcterms:created>
  <dcterms:modified xsi:type="dcterms:W3CDTF">2025-06-26T12:32:00Z</dcterms:modified>
</cp:coreProperties>
</file>