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35" w:rsidRDefault="00811388" w:rsidP="008113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0335">
        <w:rPr>
          <w:rFonts w:ascii="Felix Titling" w:eastAsia="Arial Unicode MS" w:hAnsi="Felix Titling" w:cs="Arial Unicode MS"/>
          <w:b/>
          <w:noProof/>
          <w:w w:val="120"/>
          <w:sz w:val="16"/>
          <w:szCs w:val="16"/>
          <w:lang w:val="en-US"/>
        </w:rPr>
        <w:drawing>
          <wp:inline distT="0" distB="0" distL="0" distR="0" wp14:anchorId="7F688EC4" wp14:editId="693A043D">
            <wp:extent cx="6903483" cy="1385801"/>
            <wp:effectExtent l="0" t="0" r="0" b="5080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634" cy="139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35" w:rsidRPr="00200335" w:rsidRDefault="00200335" w:rsidP="00200335">
      <w:pPr>
        <w:shd w:val="clear" w:color="auto" w:fill="FFFFFF"/>
        <w:spacing w:after="0" w:line="240" w:lineRule="auto"/>
        <w:jc w:val="right"/>
        <w:rPr>
          <w:rFonts w:ascii="Palatino Linotype" w:eastAsia="Times New Roman" w:hAnsi="Palatino Linotype" w:cs="Arial"/>
          <w:b/>
          <w:color w:val="808080"/>
          <w:w w:val="150"/>
          <w:sz w:val="10"/>
          <w:szCs w:val="10"/>
        </w:rPr>
      </w:pPr>
      <w:r w:rsidRPr="00200335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00335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00335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00335" w:rsidRPr="00200335" w:rsidRDefault="00200335" w:rsidP="00200335">
      <w:pPr>
        <w:spacing w:after="0" w:line="240" w:lineRule="auto"/>
        <w:rPr>
          <w:rFonts w:ascii="Book Antiqua" w:eastAsia="Times New Roman" w:hAnsi="Book Antiqua" w:cs="Arial"/>
          <w:sz w:val="16"/>
          <w:szCs w:val="16"/>
        </w:rPr>
      </w:pPr>
    </w:p>
    <w:p w:rsidR="00200335" w:rsidRPr="00200335" w:rsidRDefault="00200335" w:rsidP="00200335">
      <w:pPr>
        <w:spacing w:after="0" w:line="192" w:lineRule="auto"/>
        <w:jc w:val="center"/>
        <w:rPr>
          <w:rFonts w:ascii="Felix Titling" w:eastAsia="Arial Unicode MS" w:hAnsi="Felix Titling" w:cs="Arial Unicode MS"/>
          <w:b/>
          <w:w w:val="120"/>
          <w:sz w:val="16"/>
          <w:szCs w:val="16"/>
        </w:rPr>
      </w:pPr>
    </w:p>
    <w:p w:rsidR="00200335" w:rsidRDefault="00811388" w:rsidP="00811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00335" w:rsidRDefault="00200335" w:rsidP="00811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335" w:rsidRPr="00200335" w:rsidRDefault="00200335" w:rsidP="002003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335">
        <w:rPr>
          <w:rFonts w:ascii="Times New Roman" w:hAnsi="Times New Roman" w:cs="Times New Roman"/>
          <w:b/>
          <w:sz w:val="32"/>
          <w:szCs w:val="32"/>
        </w:rPr>
        <w:t>KOMUNA E DEÇANIT</w:t>
      </w:r>
    </w:p>
    <w:p w:rsidR="00102810" w:rsidRDefault="0037723D" w:rsidP="002003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335">
        <w:rPr>
          <w:rFonts w:ascii="Times New Roman" w:hAnsi="Times New Roman" w:cs="Times New Roman"/>
          <w:b/>
          <w:sz w:val="32"/>
          <w:szCs w:val="32"/>
        </w:rPr>
        <w:t>DREJTORIA PER BUXHET DHE FINA</w:t>
      </w:r>
      <w:r w:rsidR="00102810">
        <w:rPr>
          <w:rFonts w:ascii="Times New Roman" w:hAnsi="Times New Roman" w:cs="Times New Roman"/>
          <w:b/>
          <w:sz w:val="32"/>
          <w:szCs w:val="32"/>
        </w:rPr>
        <w:t>NCA</w:t>
      </w:r>
    </w:p>
    <w:p w:rsidR="00200335" w:rsidRPr="00811388" w:rsidRDefault="00A7588C" w:rsidP="008113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PLANI I PUNËS PËR VITIN 2026</w:t>
      </w:r>
    </w:p>
    <w:p w:rsidR="00200335" w:rsidRDefault="00200335" w:rsidP="002003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335" w:rsidRDefault="00200335" w:rsidP="0020033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71C0" w:rsidRPr="00811388" w:rsidRDefault="009D71C0" w:rsidP="009D71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1388">
        <w:rPr>
          <w:rFonts w:ascii="Times New Roman" w:hAnsi="Times New Roman" w:cs="Times New Roman"/>
          <w:sz w:val="20"/>
          <w:szCs w:val="20"/>
        </w:rPr>
        <w:t>Drejtoreshë Për Buxhet dhe Financa</w:t>
      </w:r>
    </w:p>
    <w:p w:rsidR="009D71C0" w:rsidRDefault="009D71C0" w:rsidP="009D71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13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Pr="00811388">
        <w:rPr>
          <w:rFonts w:ascii="Times New Roman" w:hAnsi="Times New Roman" w:cs="Times New Roman"/>
          <w:sz w:val="20"/>
          <w:szCs w:val="20"/>
        </w:rPr>
        <w:t>Znj</w:t>
      </w:r>
      <w:proofErr w:type="spellEnd"/>
      <w:r w:rsidRPr="00811388">
        <w:rPr>
          <w:rFonts w:ascii="Times New Roman" w:hAnsi="Times New Roman" w:cs="Times New Roman"/>
          <w:sz w:val="20"/>
          <w:szCs w:val="20"/>
        </w:rPr>
        <w:t>. Dafina Cacaj</w:t>
      </w:r>
    </w:p>
    <w:p w:rsidR="009D71C0" w:rsidRPr="00811388" w:rsidRDefault="009D71C0" w:rsidP="009D71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71C0" w:rsidRPr="00811388" w:rsidRDefault="009D71C0" w:rsidP="009D71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13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_____________________</w:t>
      </w:r>
    </w:p>
    <w:p w:rsidR="00200335" w:rsidRDefault="00200335" w:rsidP="0020033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0335" w:rsidRDefault="0037723D" w:rsidP="002003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0335">
        <w:rPr>
          <w:rFonts w:ascii="Times New Roman" w:hAnsi="Times New Roman" w:cs="Times New Roman"/>
          <w:sz w:val="20"/>
          <w:szCs w:val="20"/>
        </w:rPr>
        <w:t>DEÇAN</w:t>
      </w:r>
    </w:p>
    <w:p w:rsidR="00200335" w:rsidRPr="00811388" w:rsidRDefault="0037723D" w:rsidP="008113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0335">
        <w:rPr>
          <w:rFonts w:ascii="Times New Roman" w:hAnsi="Times New Roman" w:cs="Times New Roman"/>
          <w:sz w:val="20"/>
          <w:szCs w:val="20"/>
        </w:rPr>
        <w:t xml:space="preserve"> </w:t>
      </w:r>
      <w:r w:rsidR="00200335">
        <w:rPr>
          <w:rFonts w:ascii="Times New Roman" w:hAnsi="Times New Roman" w:cs="Times New Roman"/>
          <w:sz w:val="20"/>
          <w:szCs w:val="20"/>
        </w:rPr>
        <w:t xml:space="preserve">Janar </w:t>
      </w:r>
      <w:r w:rsidR="00811388">
        <w:rPr>
          <w:rFonts w:ascii="Times New Roman" w:hAnsi="Times New Roman" w:cs="Times New Roman"/>
          <w:sz w:val="20"/>
          <w:szCs w:val="20"/>
        </w:rPr>
        <w:t>20</w:t>
      </w:r>
      <w:r w:rsidR="00704F11">
        <w:rPr>
          <w:rFonts w:ascii="Times New Roman" w:hAnsi="Times New Roman" w:cs="Times New Roman"/>
          <w:sz w:val="20"/>
          <w:szCs w:val="20"/>
        </w:rPr>
        <w:t>25</w:t>
      </w:r>
    </w:p>
    <w:p w:rsidR="008D7E3A" w:rsidRPr="00811388" w:rsidRDefault="008D7E3A" w:rsidP="008D7E3A">
      <w:pPr>
        <w:pStyle w:val="Heading1"/>
        <w:rPr>
          <w:rFonts w:ascii="Times New Roman" w:hAnsi="Times New Roman" w:cs="Times New Roman"/>
          <w:b/>
          <w:color w:val="auto"/>
        </w:rPr>
      </w:pPr>
      <w:bookmarkStart w:id="0" w:name="_Toc111675265"/>
    </w:p>
    <w:p w:rsidR="008D7E3A" w:rsidRPr="00811388" w:rsidRDefault="008D7E3A" w:rsidP="008D7E3A">
      <w:pPr>
        <w:pStyle w:val="Heading1"/>
        <w:rPr>
          <w:rFonts w:ascii="Times New Roman" w:hAnsi="Times New Roman" w:cs="Times New Roman"/>
          <w:b/>
          <w:color w:val="auto"/>
        </w:rPr>
      </w:pPr>
      <w:bookmarkStart w:id="1" w:name="_Toc111675375"/>
      <w:bookmarkStart w:id="2" w:name="_Toc157004509"/>
      <w:bookmarkStart w:id="3" w:name="_Toc218602361"/>
      <w:r w:rsidRPr="00811388">
        <w:rPr>
          <w:rFonts w:ascii="Times New Roman" w:hAnsi="Times New Roman" w:cs="Times New Roman"/>
          <w:b/>
          <w:color w:val="auto"/>
        </w:rPr>
        <w:t>Përmbajtja</w:t>
      </w:r>
      <w:bookmarkEnd w:id="0"/>
      <w:bookmarkEnd w:id="1"/>
      <w:bookmarkEnd w:id="2"/>
      <w:bookmarkEnd w:id="3"/>
    </w:p>
    <w:p w:rsidR="008D7E3A" w:rsidRPr="00811388" w:rsidRDefault="008D7E3A" w:rsidP="008D7E3A">
      <w:pPr>
        <w:rPr>
          <w:rFonts w:ascii="Times New Roman" w:hAnsi="Times New Roman" w:cs="Times New Roman"/>
        </w:rPr>
      </w:pPr>
    </w:p>
    <w:p w:rsidR="00ED5935" w:rsidRDefault="00ED5935">
      <w:pPr>
        <w:pStyle w:val="TOC1"/>
        <w:tabs>
          <w:tab w:val="right" w:leader="dot" w:pos="12950"/>
        </w:tabs>
        <w:rPr>
          <w:rFonts w:eastAsiaTheme="minorEastAsia"/>
          <w:noProof/>
          <w:lang w:val="en-US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\o "1-3" \h \z \u </w:instrText>
      </w:r>
      <w:r>
        <w:rPr>
          <w:rFonts w:ascii="Times New Roman" w:hAnsi="Times New Roman" w:cs="Times New Roman"/>
        </w:rPr>
        <w:fldChar w:fldCharType="separate"/>
      </w:r>
      <w:hyperlink w:anchor="_Toc218602361" w:history="1">
        <w:r w:rsidRPr="00FB0399">
          <w:rPr>
            <w:rStyle w:val="Hyperlink"/>
            <w:rFonts w:ascii="Times New Roman" w:hAnsi="Times New Roman" w:cs="Times New Roman"/>
            <w:b/>
            <w:noProof/>
          </w:rPr>
          <w:t>Përmbajtja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2" w:history="1">
        <w:r w:rsidRPr="00FB0399">
          <w:rPr>
            <w:rStyle w:val="Hyperlink"/>
            <w:rFonts w:ascii="Times New Roman" w:hAnsi="Times New Roman" w:cs="Times New Roman"/>
            <w:b/>
            <w:noProof/>
          </w:rPr>
          <w:t>Hyrje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left" w:pos="44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3" w:history="1">
        <w:r w:rsidRPr="00FB0399">
          <w:rPr>
            <w:rStyle w:val="Hyperlink"/>
            <w:b/>
            <w:noProof/>
            <w:lang w:val="en-US"/>
          </w:rPr>
          <w:t>1.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Plani i Punës për Sektorin e Buxhetit dhe Financave – Viti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4" w:history="1">
        <w:r w:rsidRPr="00FB0399">
          <w:rPr>
            <w:rStyle w:val="Hyperlink"/>
            <w:b/>
            <w:noProof/>
          </w:rPr>
          <w:t>1.1. Sektori i Buxhetit dhe Financave ka planifikuar gjatë vitit 2026 këto aktivitete kryesore: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3"/>
        <w:tabs>
          <w:tab w:val="left" w:pos="132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5" w:history="1">
        <w:r w:rsidRPr="00FB0399">
          <w:rPr>
            <w:rStyle w:val="Hyperlink"/>
            <w:b/>
            <w:i/>
            <w:noProof/>
          </w:rPr>
          <w:t>1.1.1.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i/>
            <w:noProof/>
          </w:rPr>
          <w:t>Planifikimi dhe menaxhimi i buxhetit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3"/>
        <w:tabs>
          <w:tab w:val="left" w:pos="132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6" w:history="1">
        <w:r w:rsidRPr="00FB0399">
          <w:rPr>
            <w:rStyle w:val="Hyperlink"/>
            <w:b/>
            <w:i/>
            <w:noProof/>
          </w:rPr>
          <w:t>1.1.2.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i/>
            <w:noProof/>
          </w:rPr>
          <w:t>Monitorimi dhe raportimi financiar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3"/>
        <w:tabs>
          <w:tab w:val="left" w:pos="132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7" w:history="1">
        <w:r w:rsidRPr="00FB0399">
          <w:rPr>
            <w:rStyle w:val="Hyperlink"/>
            <w:b/>
            <w:i/>
            <w:noProof/>
          </w:rPr>
          <w:t>1.1.3.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i/>
            <w:noProof/>
          </w:rPr>
          <w:t>Regjistrimi i mjeteve dhe pasurive komunale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left" w:pos="44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8" w:history="1">
        <w:r w:rsidRPr="00FB0399">
          <w:rPr>
            <w:rStyle w:val="Hyperlink"/>
            <w:b/>
            <w:noProof/>
          </w:rPr>
          <w:t>2.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Planifikimi i Buxhetit të Komunës së Deçanit Për Vitin 2026 – 2028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left" w:pos="88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69" w:history="1">
        <w:r w:rsidRPr="00FB0399">
          <w:rPr>
            <w:rStyle w:val="Hyperlink"/>
            <w:rFonts w:ascii="Times New Roman" w:hAnsi="Times New Roman" w:cs="Times New Roman"/>
            <w:b/>
            <w:noProof/>
          </w:rPr>
          <w:t>2.1.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Planifikimi Buxhetore Komunale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left" w:pos="88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0" w:history="1">
        <w:r w:rsidRPr="00FB0399">
          <w:rPr>
            <w:rStyle w:val="Hyperlink"/>
            <w:rFonts w:eastAsia="Times New Roman"/>
            <w:b/>
            <w:noProof/>
          </w:rPr>
          <w:t>2.2.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rFonts w:eastAsia="Times New Roman"/>
            <w:b/>
            <w:noProof/>
          </w:rPr>
          <w:t>Ndarjet Buxhetore Sipas Kategorive Ekonomike Me Qarkoren Buxhetore 2026/02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left" w:pos="44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1" w:history="1">
        <w:r w:rsidRPr="00FB0399">
          <w:rPr>
            <w:rStyle w:val="Hyperlink"/>
            <w:b/>
            <w:noProof/>
          </w:rPr>
          <w:t>3.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Sektori i Financave – Zyra e të Hyrave Vetanake (Viti 2026)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left" w:pos="88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2" w:history="1">
        <w:r w:rsidRPr="00FB0399">
          <w:rPr>
            <w:rStyle w:val="Hyperlink"/>
            <w:b/>
            <w:noProof/>
          </w:rPr>
          <w:t>3.1.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Aktivitetet kryesore për vitin 2026: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left" w:pos="88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3" w:history="1">
        <w:r w:rsidRPr="00FB0399">
          <w:rPr>
            <w:rStyle w:val="Hyperlink"/>
            <w:rFonts w:eastAsia="Times New Roman"/>
            <w:b/>
            <w:noProof/>
            <w:lang w:val="en-US"/>
          </w:rPr>
          <w:t>3.2.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rFonts w:eastAsia="Times New Roman"/>
            <w:b/>
            <w:noProof/>
            <w:lang w:val="en-US"/>
          </w:rPr>
          <w:t>Projeksionet e të Hyrave Vetanake 2026-2028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left" w:pos="44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4" w:history="1">
        <w:r w:rsidRPr="00FB0399">
          <w:rPr>
            <w:rStyle w:val="Hyperlink"/>
            <w:b/>
            <w:noProof/>
          </w:rPr>
          <w:t>4.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Sektori i Tatimit mbi Pronën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2"/>
        <w:tabs>
          <w:tab w:val="left" w:pos="88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5" w:history="1">
        <w:r w:rsidRPr="00FB0399">
          <w:rPr>
            <w:rStyle w:val="Hyperlink"/>
            <w:b/>
            <w:noProof/>
          </w:rPr>
          <w:t>4.1.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Aktivitetet kryesore: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D5935" w:rsidRDefault="00ED5935">
      <w:pPr>
        <w:pStyle w:val="TOC1"/>
        <w:tabs>
          <w:tab w:val="left" w:pos="440"/>
          <w:tab w:val="right" w:leader="dot" w:pos="12950"/>
        </w:tabs>
        <w:rPr>
          <w:rFonts w:eastAsiaTheme="minorEastAsia"/>
          <w:noProof/>
          <w:lang w:val="en-US"/>
        </w:rPr>
      </w:pPr>
      <w:hyperlink w:anchor="_Toc218602376" w:history="1">
        <w:r w:rsidRPr="00FB0399">
          <w:rPr>
            <w:rStyle w:val="Hyperlink"/>
            <w:b/>
            <w:noProof/>
          </w:rPr>
          <w:t>5.</w:t>
        </w:r>
        <w:r>
          <w:rPr>
            <w:rFonts w:eastAsiaTheme="minorEastAsia"/>
            <w:noProof/>
            <w:lang w:val="en-US"/>
          </w:rPr>
          <w:tab/>
        </w:r>
        <w:r w:rsidRPr="00FB0399">
          <w:rPr>
            <w:rStyle w:val="Hyperlink"/>
            <w:b/>
            <w:noProof/>
          </w:rPr>
          <w:t>Në menyrë tabelare bartësit e detyrave dhe afatet kohore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_Toc218602376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D7E3A" w:rsidRPr="00811388" w:rsidRDefault="00ED5935" w:rsidP="008D7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8D7E3A" w:rsidRPr="00811388" w:rsidRDefault="008D7E3A" w:rsidP="008D7E3A">
      <w:pPr>
        <w:rPr>
          <w:rFonts w:ascii="Times New Roman" w:hAnsi="Times New Roman" w:cs="Times New Roman"/>
        </w:rPr>
      </w:pPr>
    </w:p>
    <w:p w:rsidR="008D7E3A" w:rsidRPr="00811388" w:rsidRDefault="008D7E3A" w:rsidP="008D7E3A">
      <w:pPr>
        <w:rPr>
          <w:rFonts w:ascii="Times New Roman" w:hAnsi="Times New Roman" w:cs="Times New Roman"/>
        </w:rPr>
      </w:pPr>
    </w:p>
    <w:p w:rsidR="00263F43" w:rsidRPr="002516D1" w:rsidRDefault="00263F43" w:rsidP="008D7E3A">
      <w:pPr>
        <w:pStyle w:val="Heading1"/>
        <w:rPr>
          <w:rFonts w:ascii="Times New Roman" w:hAnsi="Times New Roman" w:cs="Times New Roman"/>
          <w:b/>
          <w:color w:val="auto"/>
        </w:rPr>
      </w:pPr>
      <w:bookmarkStart w:id="4" w:name="_Toc111675266"/>
      <w:bookmarkStart w:id="5" w:name="_Toc111675376"/>
    </w:p>
    <w:p w:rsidR="00200335" w:rsidRPr="002516D1" w:rsidRDefault="00200335" w:rsidP="008D7E3A">
      <w:pPr>
        <w:pStyle w:val="Heading1"/>
        <w:rPr>
          <w:rFonts w:ascii="Times New Roman" w:hAnsi="Times New Roman" w:cs="Times New Roman"/>
          <w:b/>
          <w:color w:val="auto"/>
        </w:rPr>
      </w:pPr>
      <w:bookmarkStart w:id="6" w:name="_Toc157004510"/>
      <w:bookmarkStart w:id="7" w:name="_Toc218602362"/>
      <w:r w:rsidRPr="002516D1">
        <w:rPr>
          <w:rFonts w:ascii="Times New Roman" w:hAnsi="Times New Roman" w:cs="Times New Roman"/>
          <w:b/>
          <w:color w:val="auto"/>
        </w:rPr>
        <w:t>Hyrje</w:t>
      </w:r>
      <w:bookmarkEnd w:id="4"/>
      <w:bookmarkEnd w:id="5"/>
      <w:bookmarkEnd w:id="6"/>
      <w:bookmarkEnd w:id="7"/>
    </w:p>
    <w:p w:rsidR="008D7E3A" w:rsidRPr="002516D1" w:rsidRDefault="008D7E3A" w:rsidP="008D7E3A">
      <w:pPr>
        <w:rPr>
          <w:rFonts w:ascii="Times New Roman" w:hAnsi="Times New Roman" w:cs="Times New Roman"/>
        </w:rPr>
      </w:pPr>
    </w:p>
    <w:p w:rsidR="00E51E42" w:rsidRPr="002516D1" w:rsidRDefault="00E51E42" w:rsidP="00E51E42">
      <w:pPr>
        <w:pStyle w:val="NormalWeb"/>
        <w:rPr>
          <w:lang w:val="sq-AL"/>
        </w:rPr>
      </w:pPr>
      <w:r w:rsidRPr="002516D1">
        <w:rPr>
          <w:lang w:val="sq-AL"/>
        </w:rPr>
        <w:t xml:space="preserve">Plani i punës për vitin 2025 i </w:t>
      </w:r>
      <w:r w:rsidRPr="002516D1">
        <w:rPr>
          <w:rStyle w:val="Strong"/>
          <w:lang w:val="sq-AL"/>
        </w:rPr>
        <w:t>Drejtorisë për Buxhet dhe Financa</w:t>
      </w:r>
      <w:r w:rsidRPr="002516D1">
        <w:rPr>
          <w:lang w:val="sq-AL"/>
        </w:rPr>
        <w:t xml:space="preserve"> do të jetë në përputhje të plotë me </w:t>
      </w:r>
      <w:r w:rsidRPr="002516D1">
        <w:rPr>
          <w:rStyle w:val="Strong"/>
          <w:lang w:val="sq-AL"/>
        </w:rPr>
        <w:t>planet e punës së Qeverisë Komunale</w:t>
      </w:r>
      <w:r w:rsidRPr="002516D1">
        <w:rPr>
          <w:lang w:val="sq-AL"/>
        </w:rPr>
        <w:t>, duke respektuar të gjitha ligjet dhe rregulloret që rregullojnë veprimtarinë e drejtorisë. Kjo siguron menaxhim të kujdesshëm dhe transparencë në administrimin e fondeve publike.</w:t>
      </w:r>
    </w:p>
    <w:p w:rsidR="00E51E42" w:rsidRPr="002516D1" w:rsidRDefault="00E51E42" w:rsidP="00E51E42">
      <w:pPr>
        <w:pStyle w:val="NormalWeb"/>
        <w:rPr>
          <w:lang w:val="sq-AL"/>
        </w:rPr>
      </w:pPr>
      <w:r w:rsidRPr="002516D1">
        <w:rPr>
          <w:lang w:val="sq-AL"/>
        </w:rPr>
        <w:t>Ligjet dhe rregulloret kryesore që Drejtoria do të respektojë përfshijnë:</w:t>
      </w:r>
    </w:p>
    <w:p w:rsidR="00E51E42" w:rsidRPr="002516D1" w:rsidRDefault="00E51E42" w:rsidP="00E51E42">
      <w:pPr>
        <w:pStyle w:val="NormalWeb"/>
        <w:numPr>
          <w:ilvl w:val="0"/>
          <w:numId w:val="12"/>
        </w:numPr>
        <w:rPr>
          <w:lang w:val="sq-AL"/>
        </w:rPr>
      </w:pPr>
      <w:r w:rsidRPr="002516D1">
        <w:rPr>
          <w:rStyle w:val="Strong"/>
          <w:lang w:val="sq-AL"/>
        </w:rPr>
        <w:t>Ligji mbi Menaxhimin e Financave Publike dhe Përgjegjësitë</w:t>
      </w:r>
    </w:p>
    <w:p w:rsidR="00E51E42" w:rsidRPr="002516D1" w:rsidRDefault="00E51E42" w:rsidP="00E51E42">
      <w:pPr>
        <w:pStyle w:val="NormalWeb"/>
        <w:numPr>
          <w:ilvl w:val="0"/>
          <w:numId w:val="12"/>
        </w:numPr>
        <w:rPr>
          <w:lang w:val="sq-AL"/>
        </w:rPr>
      </w:pPr>
      <w:r w:rsidRPr="002516D1">
        <w:rPr>
          <w:rStyle w:val="Strong"/>
          <w:lang w:val="sq-AL"/>
        </w:rPr>
        <w:t>Ligji mbi Financat e Pushtetit Lokal</w:t>
      </w:r>
    </w:p>
    <w:p w:rsidR="00E51E42" w:rsidRPr="002516D1" w:rsidRDefault="00E51E42" w:rsidP="00E51E42">
      <w:pPr>
        <w:pStyle w:val="NormalWeb"/>
        <w:numPr>
          <w:ilvl w:val="0"/>
          <w:numId w:val="12"/>
        </w:numPr>
        <w:rPr>
          <w:lang w:val="sq-AL"/>
        </w:rPr>
      </w:pPr>
      <w:r w:rsidRPr="002516D1">
        <w:rPr>
          <w:rStyle w:val="Strong"/>
          <w:lang w:val="sq-AL"/>
        </w:rPr>
        <w:t xml:space="preserve">Ligji mbi </w:t>
      </w:r>
      <w:proofErr w:type="spellStart"/>
      <w:r w:rsidRPr="002516D1">
        <w:rPr>
          <w:rStyle w:val="Strong"/>
          <w:lang w:val="sq-AL"/>
        </w:rPr>
        <w:t>Vetqeverisjen</w:t>
      </w:r>
      <w:proofErr w:type="spellEnd"/>
      <w:r w:rsidRPr="002516D1">
        <w:rPr>
          <w:rStyle w:val="Strong"/>
          <w:lang w:val="sq-AL"/>
        </w:rPr>
        <w:t xml:space="preserve"> Lokale</w:t>
      </w:r>
    </w:p>
    <w:p w:rsidR="00E51E42" w:rsidRPr="002516D1" w:rsidRDefault="00E51E42" w:rsidP="00E51E42">
      <w:pPr>
        <w:pStyle w:val="NormalWeb"/>
        <w:numPr>
          <w:ilvl w:val="0"/>
          <w:numId w:val="12"/>
        </w:numPr>
        <w:rPr>
          <w:lang w:val="sq-AL"/>
        </w:rPr>
      </w:pPr>
      <w:r w:rsidRPr="002516D1">
        <w:rPr>
          <w:rStyle w:val="Strong"/>
          <w:lang w:val="sq-AL"/>
        </w:rPr>
        <w:t>Urdhëresat Administrative relevante</w:t>
      </w:r>
    </w:p>
    <w:p w:rsidR="00E51E42" w:rsidRPr="002516D1" w:rsidRDefault="00E51E42" w:rsidP="00E51E42">
      <w:pPr>
        <w:pStyle w:val="NormalWeb"/>
        <w:numPr>
          <w:ilvl w:val="0"/>
          <w:numId w:val="12"/>
        </w:numPr>
        <w:rPr>
          <w:lang w:val="sq-AL"/>
        </w:rPr>
      </w:pPr>
      <w:r w:rsidRPr="002516D1">
        <w:rPr>
          <w:rStyle w:val="Strong"/>
          <w:lang w:val="sq-AL"/>
        </w:rPr>
        <w:t>Rregulloret financiare të Ministrisë së Financave</w:t>
      </w:r>
      <w:r w:rsidRPr="002516D1">
        <w:rPr>
          <w:lang w:val="sq-AL"/>
        </w:rPr>
        <w:t>, përkatësisht Departamentit të Buxhetit dhe Thesarit</w:t>
      </w:r>
    </w:p>
    <w:p w:rsidR="00E51E42" w:rsidRPr="002516D1" w:rsidRDefault="00E51E42" w:rsidP="00E51E42">
      <w:pPr>
        <w:rPr>
          <w:rFonts w:ascii="Times New Roman" w:hAnsi="Times New Roman" w:cs="Times New Roman"/>
          <w:b/>
        </w:rPr>
      </w:pPr>
      <w:r w:rsidRPr="002516D1">
        <w:rPr>
          <w:rFonts w:ascii="Times New Roman" w:hAnsi="Times New Roman" w:cs="Times New Roman"/>
          <w:b/>
        </w:rPr>
        <w:t>Strukturimi i Drejtorisë për vitin 2026</w:t>
      </w:r>
    </w:p>
    <w:p w:rsidR="00E51E42" w:rsidRPr="002516D1" w:rsidRDefault="00E51E42" w:rsidP="00E51E42">
      <w:pPr>
        <w:rPr>
          <w:rFonts w:ascii="Times New Roman" w:hAnsi="Times New Roman" w:cs="Times New Roman"/>
        </w:rPr>
      </w:pPr>
      <w:r w:rsidRPr="002516D1">
        <w:rPr>
          <w:rFonts w:ascii="Times New Roman" w:hAnsi="Times New Roman" w:cs="Times New Roman"/>
        </w:rPr>
        <w:t>Drejtoria për Buxhet dhe Financa do të funksionojë në dy sektorë kryesorë:</w:t>
      </w:r>
    </w:p>
    <w:p w:rsidR="00E51E42" w:rsidRPr="002516D1" w:rsidRDefault="00E51E42" w:rsidP="00E51E42">
      <w:pPr>
        <w:pStyle w:val="NormalWeb"/>
        <w:numPr>
          <w:ilvl w:val="0"/>
          <w:numId w:val="13"/>
        </w:numPr>
        <w:rPr>
          <w:lang w:val="sq-AL"/>
        </w:rPr>
      </w:pPr>
      <w:r w:rsidRPr="002516D1">
        <w:rPr>
          <w:rStyle w:val="Strong"/>
          <w:lang w:val="sq-AL"/>
        </w:rPr>
        <w:t>Sektori i Buxhetit dhe Financave</w:t>
      </w:r>
      <w:r w:rsidRPr="002516D1">
        <w:rPr>
          <w:lang w:val="sq-AL"/>
        </w:rPr>
        <w:t xml:space="preserve">, ku përfshihet edhe </w:t>
      </w:r>
      <w:r w:rsidRPr="002516D1">
        <w:rPr>
          <w:rStyle w:val="Strong"/>
          <w:lang w:val="sq-AL"/>
        </w:rPr>
        <w:t>Zyra e të Hyrave</w:t>
      </w:r>
    </w:p>
    <w:p w:rsidR="00E51E42" w:rsidRPr="002516D1" w:rsidRDefault="00E51E42" w:rsidP="00E51E42">
      <w:pPr>
        <w:pStyle w:val="NormalWeb"/>
        <w:numPr>
          <w:ilvl w:val="0"/>
          <w:numId w:val="13"/>
        </w:numPr>
        <w:rPr>
          <w:lang w:val="sq-AL"/>
        </w:rPr>
      </w:pPr>
      <w:r w:rsidRPr="002516D1">
        <w:rPr>
          <w:rStyle w:val="Strong"/>
          <w:lang w:val="sq-AL"/>
        </w:rPr>
        <w:t>Sektori i Tatimit në Pronë</w:t>
      </w:r>
    </w:p>
    <w:p w:rsidR="008D7E3A" w:rsidRPr="002516D1" w:rsidRDefault="008D7E3A" w:rsidP="00950D9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D7E3A" w:rsidRPr="00811388" w:rsidRDefault="008D7E3A" w:rsidP="0026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E3A" w:rsidRPr="00811388" w:rsidRDefault="008D7E3A" w:rsidP="0026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E3A" w:rsidRPr="00811388" w:rsidRDefault="008D7E3A" w:rsidP="0026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3F43" w:rsidRPr="00811388" w:rsidRDefault="00263F43" w:rsidP="0026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E42" w:rsidRPr="005D47EB" w:rsidRDefault="00E51E42" w:rsidP="005D47EB">
      <w:pPr>
        <w:pStyle w:val="Heading1"/>
        <w:numPr>
          <w:ilvl w:val="0"/>
          <w:numId w:val="17"/>
        </w:numPr>
        <w:rPr>
          <w:b/>
          <w:color w:val="auto"/>
          <w:lang w:val="en-US"/>
        </w:rPr>
      </w:pPr>
      <w:bookmarkStart w:id="8" w:name="_Toc218602363"/>
      <w:r w:rsidRPr="005D47EB">
        <w:rPr>
          <w:b/>
          <w:color w:val="auto"/>
        </w:rPr>
        <w:lastRenderedPageBreak/>
        <w:t>Plani i Punës për Sektorin e Buxhetit dhe Financave – Viti 2026</w:t>
      </w:r>
      <w:bookmarkEnd w:id="8"/>
    </w:p>
    <w:p w:rsidR="00E51E42" w:rsidRPr="005D47EB" w:rsidRDefault="005D47EB" w:rsidP="005D47EB">
      <w:pPr>
        <w:pStyle w:val="Heading2"/>
        <w:rPr>
          <w:b/>
          <w:color w:val="auto"/>
        </w:rPr>
      </w:pPr>
      <w:bookmarkStart w:id="9" w:name="_Toc218602364"/>
      <w:r>
        <w:rPr>
          <w:b/>
          <w:color w:val="auto"/>
        </w:rPr>
        <w:t xml:space="preserve">1.1. </w:t>
      </w:r>
      <w:r w:rsidR="00E51E42" w:rsidRPr="005D47EB">
        <w:rPr>
          <w:b/>
          <w:color w:val="auto"/>
        </w:rPr>
        <w:t>Sektori i Buxhetit dhe Financave ka planifikuar gjatë vitit 2026 këto aktivitete kryesore:</w:t>
      </w:r>
      <w:bookmarkEnd w:id="9"/>
    </w:p>
    <w:p w:rsidR="005D47EB" w:rsidRDefault="005D47EB" w:rsidP="005D47EB">
      <w:pPr>
        <w:pStyle w:val="Heading3"/>
        <w:rPr>
          <w:b/>
          <w:i/>
          <w:color w:val="auto"/>
        </w:rPr>
      </w:pPr>
    </w:p>
    <w:p w:rsidR="005D47EB" w:rsidRDefault="00E51E42" w:rsidP="005D47EB">
      <w:pPr>
        <w:pStyle w:val="Heading3"/>
        <w:numPr>
          <w:ilvl w:val="2"/>
          <w:numId w:val="20"/>
        </w:numPr>
        <w:rPr>
          <w:b/>
          <w:i/>
          <w:color w:val="auto"/>
        </w:rPr>
      </w:pPr>
      <w:bookmarkStart w:id="10" w:name="_Toc218602365"/>
      <w:r w:rsidRPr="005D47EB">
        <w:rPr>
          <w:b/>
          <w:i/>
          <w:color w:val="auto"/>
        </w:rPr>
        <w:t>Planifikimi dhe menaxhimi i buxhetit</w:t>
      </w:r>
      <w:bookmarkEnd w:id="10"/>
    </w:p>
    <w:p w:rsidR="005D47EB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 w:rsidRPr="005D47EB">
        <w:rPr>
          <w:rFonts w:ascii="Times New Roman" w:hAnsi="Times New Roman" w:cs="Times New Roman"/>
        </w:rPr>
        <w:t>Përgatitja e planit të zotimit-shpenzimit të buxhetit për të gjitha programet buxhetore për vitin 2026.</w:t>
      </w:r>
    </w:p>
    <w:p w:rsidR="005D47EB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>
        <w:t>Bartja e mjeteve të mbetura të pashpenzuara nga viti 2025 për shpenzim në vitin 2026 (me vendim të Asamblesë Komunale).</w:t>
      </w:r>
    </w:p>
    <w:p w:rsidR="005D47EB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>
        <w:t>Regjistrimi i shpenzimeve sipas modulit të aprovimit dhe blerjes.</w:t>
      </w:r>
    </w:p>
    <w:p w:rsidR="005D47EB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>
        <w:t xml:space="preserve">Zotimi dhe ndjekja e mjeteve të </w:t>
      </w:r>
      <w:proofErr w:type="spellStart"/>
      <w:r>
        <w:t>alokuara</w:t>
      </w:r>
      <w:proofErr w:type="spellEnd"/>
      <w:r>
        <w:t xml:space="preserve"> për programe dhe kategori ekonomike.</w:t>
      </w:r>
    </w:p>
    <w:p w:rsidR="005D47EB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>
        <w:t>Rishikimi gjashtëmujor i buxhetit, nëse parashikohet nga Ministria e Financave.</w:t>
      </w:r>
    </w:p>
    <w:p w:rsidR="00E51E42" w:rsidRPr="005D47EB" w:rsidRDefault="00E51E42" w:rsidP="005D47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</w:rPr>
      </w:pPr>
      <w:r>
        <w:t xml:space="preserve">Ndihmë në </w:t>
      </w:r>
      <w:proofErr w:type="spellStart"/>
      <w:r>
        <w:t>ridestinimin</w:t>
      </w:r>
      <w:proofErr w:type="spellEnd"/>
      <w:r>
        <w:t xml:space="preserve"> dhe transferimin e mjeteve brenda programeve buxhetore.</w:t>
      </w:r>
    </w:p>
    <w:p w:rsidR="005D47EB" w:rsidRPr="005D47EB" w:rsidRDefault="005D47EB" w:rsidP="005D47EB">
      <w:pPr>
        <w:rPr>
          <w:rFonts w:ascii="Times New Roman" w:hAnsi="Times New Roman" w:cs="Times New Roman"/>
          <w:b/>
          <w:i/>
        </w:rPr>
      </w:pPr>
    </w:p>
    <w:p w:rsidR="005D47EB" w:rsidRDefault="00E51E42" w:rsidP="005D47EB">
      <w:pPr>
        <w:pStyle w:val="Heading3"/>
        <w:numPr>
          <w:ilvl w:val="2"/>
          <w:numId w:val="20"/>
        </w:numPr>
        <w:rPr>
          <w:b/>
          <w:i/>
          <w:color w:val="auto"/>
        </w:rPr>
      </w:pPr>
      <w:bookmarkStart w:id="11" w:name="_Toc218602366"/>
      <w:r w:rsidRPr="005D47EB">
        <w:rPr>
          <w:b/>
          <w:i/>
          <w:color w:val="auto"/>
        </w:rPr>
        <w:t>Monitorimi dhe raportimi financiar</w:t>
      </w:r>
      <w:bookmarkEnd w:id="11"/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 w:rsidRPr="005D47EB">
        <w:rPr>
          <w:rFonts w:ascii="Times New Roman" w:hAnsi="Times New Roman" w:cs="Times New Roman"/>
        </w:rPr>
        <w:t>Përpunimi dhe analizimi i të dhënave buxhetore të vitit 2025.</w:t>
      </w:r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 xml:space="preserve">Përgatitja e raportit janar–dhjetor të </w:t>
      </w:r>
      <w:proofErr w:type="spellStart"/>
      <w:r>
        <w:t>të</w:t>
      </w:r>
      <w:proofErr w:type="spellEnd"/>
      <w:r>
        <w:t xml:space="preserve"> hyrave dhe shpenzimeve.</w:t>
      </w:r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>Raportimi i faturave të papaguara për të gjitha programet.</w:t>
      </w:r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>Përgatitja e raporteve mujore, periodike dhe përfundimtare të realizimit të buxhetit.</w:t>
      </w:r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>Barazimi periodik me Departamentin e Thesarit për të hyrat dhe shpenzimet.</w:t>
      </w:r>
    </w:p>
    <w:p w:rsidR="005D47EB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>Përgatitja e KAB-it komunal për periudhën 2027–2029 dhe planifikimi i buxhetit për vitin 2027.</w:t>
      </w:r>
    </w:p>
    <w:p w:rsidR="00E51E42" w:rsidRPr="005D47EB" w:rsidRDefault="00E51E42" w:rsidP="005D47E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</w:rPr>
      </w:pPr>
      <w:r>
        <w:t>Sigurimi i materialeve mbështetëse për dëgjimet buxhetore me të gjithë pjesëmarrësit.</w:t>
      </w:r>
    </w:p>
    <w:p w:rsidR="005D47EB" w:rsidRPr="005D47EB" w:rsidRDefault="005D47EB" w:rsidP="005D47EB">
      <w:pPr>
        <w:ind w:left="360"/>
        <w:rPr>
          <w:rFonts w:ascii="Times New Roman" w:hAnsi="Times New Roman" w:cs="Times New Roman"/>
          <w:b/>
          <w:i/>
        </w:rPr>
      </w:pPr>
    </w:p>
    <w:p w:rsidR="005D47EB" w:rsidRDefault="00E51E42" w:rsidP="005D47EB">
      <w:pPr>
        <w:pStyle w:val="Heading3"/>
        <w:numPr>
          <w:ilvl w:val="2"/>
          <w:numId w:val="20"/>
        </w:numPr>
        <w:rPr>
          <w:b/>
          <w:i/>
          <w:color w:val="auto"/>
        </w:rPr>
      </w:pPr>
      <w:bookmarkStart w:id="12" w:name="_Toc218602367"/>
      <w:r w:rsidRPr="005D47EB">
        <w:rPr>
          <w:b/>
          <w:i/>
          <w:color w:val="auto"/>
        </w:rPr>
        <w:t>Regjistrimi i mjeteve dhe pasurive komunale</w:t>
      </w:r>
      <w:bookmarkEnd w:id="12"/>
    </w:p>
    <w:p w:rsidR="005D47EB" w:rsidRPr="005D47EB" w:rsidRDefault="00E51E42" w:rsidP="005D47EB">
      <w:pPr>
        <w:pStyle w:val="ListParagraph"/>
        <w:numPr>
          <w:ilvl w:val="0"/>
          <w:numId w:val="22"/>
        </w:numPr>
        <w:rPr>
          <w:b/>
          <w:i/>
        </w:rPr>
      </w:pPr>
      <w:r>
        <w:t xml:space="preserve">Regjistrimi i të gjitha parave të imta dhe </w:t>
      </w:r>
      <w:proofErr w:type="spellStart"/>
      <w:r>
        <w:t>avanseve</w:t>
      </w:r>
      <w:proofErr w:type="spellEnd"/>
      <w:r>
        <w:t>.</w:t>
      </w:r>
    </w:p>
    <w:p w:rsidR="005D47EB" w:rsidRPr="005D47EB" w:rsidRDefault="00E51E42" w:rsidP="005D47EB">
      <w:pPr>
        <w:pStyle w:val="ListParagraph"/>
        <w:numPr>
          <w:ilvl w:val="0"/>
          <w:numId w:val="22"/>
        </w:numPr>
        <w:rPr>
          <w:b/>
          <w:i/>
        </w:rPr>
      </w:pPr>
      <w:proofErr w:type="spellStart"/>
      <w:r>
        <w:t>Çertifikimi</w:t>
      </w:r>
      <w:proofErr w:type="spellEnd"/>
      <w:r>
        <w:t xml:space="preserve"> dhe aprovimi i të gjitha pagesave në nivel komunal.</w:t>
      </w:r>
    </w:p>
    <w:p w:rsidR="005D47EB" w:rsidRPr="005D47EB" w:rsidRDefault="00E51E42" w:rsidP="005D47EB">
      <w:pPr>
        <w:pStyle w:val="ListParagraph"/>
        <w:numPr>
          <w:ilvl w:val="0"/>
          <w:numId w:val="22"/>
        </w:numPr>
        <w:rPr>
          <w:b/>
          <w:i/>
        </w:rPr>
      </w:pPr>
      <w:r>
        <w:t>Mbajtja dhe azhurnimi i regjistrit të pasurive komunale.</w:t>
      </w:r>
    </w:p>
    <w:p w:rsidR="005D47EB" w:rsidRPr="005D47EB" w:rsidRDefault="00E51E42" w:rsidP="005D47EB">
      <w:pPr>
        <w:pStyle w:val="ListParagraph"/>
        <w:numPr>
          <w:ilvl w:val="0"/>
          <w:numId w:val="22"/>
        </w:numPr>
        <w:rPr>
          <w:b/>
          <w:i/>
        </w:rPr>
      </w:pPr>
      <w:r>
        <w:t xml:space="preserve">Regjistrimi në </w:t>
      </w:r>
      <w:r>
        <w:rPr>
          <w:rStyle w:val="Strong"/>
        </w:rPr>
        <w:t>SIMFK</w:t>
      </w:r>
      <w:r>
        <w:t xml:space="preserve"> i pasurive mbi 1,000 € dhe në </w:t>
      </w:r>
      <w:r>
        <w:rPr>
          <w:rStyle w:val="Strong"/>
        </w:rPr>
        <w:t>E-Pasuri</w:t>
      </w:r>
      <w:r>
        <w:t xml:space="preserve"> i </w:t>
      </w:r>
      <w:proofErr w:type="spellStart"/>
      <w:r>
        <w:t>aseteve</w:t>
      </w:r>
      <w:proofErr w:type="spellEnd"/>
      <w:r>
        <w:t xml:space="preserve"> nën 1,000 €.</w:t>
      </w:r>
    </w:p>
    <w:p w:rsidR="00E51E42" w:rsidRPr="005D47EB" w:rsidRDefault="00E51E42" w:rsidP="005D47EB">
      <w:pPr>
        <w:pStyle w:val="ListParagraph"/>
        <w:numPr>
          <w:ilvl w:val="0"/>
          <w:numId w:val="22"/>
        </w:numPr>
        <w:rPr>
          <w:b/>
          <w:i/>
        </w:rPr>
      </w:pPr>
      <w:r>
        <w:t>Përgatitjet dhe aktivitetet për përmbylljen e vitit fiskal 2026.</w:t>
      </w:r>
    </w:p>
    <w:p w:rsidR="008D7E3A" w:rsidRPr="005D47EB" w:rsidRDefault="005D47EB" w:rsidP="005D47EB">
      <w:pPr>
        <w:pStyle w:val="Heading1"/>
        <w:numPr>
          <w:ilvl w:val="0"/>
          <w:numId w:val="20"/>
        </w:numPr>
        <w:rPr>
          <w:b/>
          <w:color w:val="auto"/>
        </w:rPr>
      </w:pPr>
      <w:bookmarkStart w:id="13" w:name="_Toc157004513"/>
      <w:bookmarkStart w:id="14" w:name="_Toc218602368"/>
      <w:r>
        <w:rPr>
          <w:b/>
          <w:color w:val="auto"/>
        </w:rPr>
        <w:lastRenderedPageBreak/>
        <w:t>Planifikimi i Buxhetit t</w:t>
      </w:r>
      <w:r w:rsidR="008B6B16" w:rsidRPr="005D47EB">
        <w:rPr>
          <w:b/>
          <w:color w:val="auto"/>
        </w:rPr>
        <w:t xml:space="preserve">ë </w:t>
      </w:r>
      <w:r w:rsidRPr="005D47EB">
        <w:rPr>
          <w:b/>
          <w:color w:val="auto"/>
        </w:rPr>
        <w:t>Komunës</w:t>
      </w:r>
      <w:r>
        <w:rPr>
          <w:b/>
          <w:color w:val="auto"/>
        </w:rPr>
        <w:t xml:space="preserve"> s</w:t>
      </w:r>
      <w:r w:rsidR="008B6B16" w:rsidRPr="005D47EB">
        <w:rPr>
          <w:b/>
          <w:color w:val="auto"/>
        </w:rPr>
        <w:t>ë Deçanit Për Vitin 2026 – 202</w:t>
      </w:r>
      <w:bookmarkEnd w:id="13"/>
      <w:r w:rsidR="008B6B16" w:rsidRPr="005D47EB">
        <w:rPr>
          <w:b/>
          <w:color w:val="auto"/>
        </w:rPr>
        <w:t>8</w:t>
      </w:r>
      <w:bookmarkEnd w:id="14"/>
    </w:p>
    <w:p w:rsidR="005D47EB" w:rsidRPr="005D47EB" w:rsidRDefault="005D47EB" w:rsidP="0031264F">
      <w:pPr>
        <w:rPr>
          <w:b/>
        </w:rPr>
      </w:pPr>
    </w:p>
    <w:p w:rsidR="0031264F" w:rsidRPr="005D47EB" w:rsidRDefault="005D47EB" w:rsidP="005D47EB">
      <w:pPr>
        <w:pStyle w:val="Heading2"/>
        <w:numPr>
          <w:ilvl w:val="1"/>
          <w:numId w:val="20"/>
        </w:numPr>
        <w:rPr>
          <w:rFonts w:ascii="Times New Roman" w:hAnsi="Times New Roman" w:cs="Times New Roman"/>
          <w:b/>
          <w:color w:val="auto"/>
        </w:rPr>
      </w:pPr>
      <w:bookmarkStart w:id="15" w:name="_Toc218602369"/>
      <w:r w:rsidRPr="005D47EB">
        <w:rPr>
          <w:b/>
          <w:color w:val="auto"/>
        </w:rPr>
        <w:t>Planifikimi Buxhetore Komunale</w:t>
      </w:r>
      <w:bookmarkEnd w:id="15"/>
    </w:p>
    <w:p w:rsidR="002516D1" w:rsidRPr="002516D1" w:rsidRDefault="002516D1" w:rsidP="0025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Sipas rekomandimeve të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Misionit të Fondit Monetar Ndërkombëtar (FMN)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, të komunikuara përmes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Qarkores Buxhetore komunale 2026–2028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, komunat do të kenë fleksibilitet në shpërndarjen e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të hyrave </w:t>
      </w:r>
      <w:proofErr w:type="spellStart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vetanake</w:t>
      </w:r>
      <w:proofErr w:type="spellEnd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komunale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midis kategorive të ndryshme të shpenzimeve.</w:t>
      </w:r>
    </w:p>
    <w:p w:rsidR="002516D1" w:rsidRPr="002516D1" w:rsidRDefault="002516D1" w:rsidP="002516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Ky fleksibilitet vlen për të gjitha kategoritë buxhetore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përveç kategorisë Paga dhe Mëditje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>, e cila mbetet e fiksuar sipas rregulloreve ligjore.</w:t>
      </w:r>
    </w:p>
    <w:p w:rsidR="002516D1" w:rsidRPr="002516D1" w:rsidRDefault="002516D1" w:rsidP="002516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Komuna e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Deçanit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ka përgatitur planin e ndarjes së shpenzimeve sipas kategorive të lejuara buxhetore për vitet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2026–2028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>, duke respektuar udhëzimet e FMN-së dhe siguruar përdorim efikas të mjeteve.</w:t>
      </w:r>
    </w:p>
    <w:p w:rsidR="002516D1" w:rsidRPr="002516D1" w:rsidRDefault="002516D1" w:rsidP="0025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>Kjo qasje mundëson:</w:t>
      </w:r>
    </w:p>
    <w:p w:rsidR="002516D1" w:rsidRPr="002516D1" w:rsidRDefault="002516D1" w:rsidP="0025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Përdorim më efikas të mjeteve </w:t>
      </w:r>
      <w:proofErr w:type="spellStart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vetanake</w:t>
      </w:r>
      <w:proofErr w:type="spellEnd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komunale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16D1" w:rsidRPr="002516D1" w:rsidRDefault="002516D1" w:rsidP="0025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Fleksibilitet për të përmbushur nevojat </w:t>
      </w:r>
      <w:proofErr w:type="spellStart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prioritare</w:t>
      </w:r>
      <w:proofErr w:type="spellEnd"/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projekteve dhe shërbimeve komunale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16D1" w:rsidRPr="002516D1" w:rsidRDefault="002516D1" w:rsidP="0025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Sigurimin e balancës financiare ndërmjet programeve të ndryshme buxhetore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986" w:type="dxa"/>
        <w:tblLook w:val="04A0" w:firstRow="1" w:lastRow="0" w:firstColumn="1" w:lastColumn="0" w:noHBand="0" w:noVBand="1"/>
      </w:tblPr>
      <w:tblGrid>
        <w:gridCol w:w="2845"/>
        <w:gridCol w:w="2551"/>
        <w:gridCol w:w="2691"/>
        <w:gridCol w:w="2899"/>
      </w:tblGrid>
      <w:tr w:rsidR="00AC54D2" w:rsidRPr="00AC54D2" w:rsidTr="00354EDA">
        <w:trPr>
          <w:trHeight w:val="166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2027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2028</w:t>
            </w:r>
          </w:p>
        </w:tc>
      </w:tr>
      <w:tr w:rsidR="00AC54D2" w:rsidRPr="00AC54D2" w:rsidTr="00354EDA">
        <w:trPr>
          <w:trHeight w:val="160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G.P.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6,723,133.00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6,307,427.00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6,807,946.00 </w:t>
            </w:r>
          </w:p>
        </w:tc>
      </w:tr>
      <w:tr w:rsidR="00AC54D2" w:rsidRPr="00AC54D2" w:rsidTr="00354EDA">
        <w:trPr>
          <w:trHeight w:val="160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G.S.A.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4,968,221.00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5,117,268.00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5,270,786.00 </w:t>
            </w:r>
          </w:p>
        </w:tc>
      </w:tr>
      <w:tr w:rsidR="00AC54D2" w:rsidRPr="00AC54D2" w:rsidTr="00354EDA">
        <w:trPr>
          <w:trHeight w:val="160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G.S.SH.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1,692,341.00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1,743,111.00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1,795,404.00 </w:t>
            </w:r>
          </w:p>
        </w:tc>
      </w:tr>
      <w:tr w:rsidR="00AC54D2" w:rsidRPr="00AC54D2" w:rsidTr="00354EDA">
        <w:trPr>
          <w:trHeight w:val="166"/>
        </w:trPr>
        <w:tc>
          <w:tcPr>
            <w:tcW w:w="2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SH.REZIDENCALE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200,000.00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 200,000.00 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    200,000.00 </w:t>
            </w:r>
          </w:p>
        </w:tc>
      </w:tr>
      <w:tr w:rsidR="00AC54D2" w:rsidRPr="00AC54D2" w:rsidTr="00354EDA">
        <w:trPr>
          <w:trHeight w:val="166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TOTAL GRANTI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13,583,695.00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  13,367,806.00 </w:t>
            </w: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     14,074,136.00 </w:t>
            </w:r>
          </w:p>
        </w:tc>
      </w:tr>
      <w:tr w:rsidR="00AC54D2" w:rsidRPr="00AC54D2" w:rsidTr="00354EDA">
        <w:trPr>
          <w:trHeight w:val="166"/>
        </w:trPr>
        <w:tc>
          <w:tcPr>
            <w:tcW w:w="2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THV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968,279.00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1,046,167.00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 xml:space="preserve">            1,052,026.00 </w:t>
            </w:r>
          </w:p>
        </w:tc>
      </w:tr>
      <w:tr w:rsidR="00AC54D2" w:rsidRPr="00AC54D2" w:rsidTr="00354EDA">
        <w:trPr>
          <w:trHeight w:val="149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TOTAL BUXHETI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14,551,974.00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  14,413,973.00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     15,126,162.00 </w:t>
            </w:r>
          </w:p>
        </w:tc>
      </w:tr>
    </w:tbl>
    <w:p w:rsidR="00354EDA" w:rsidRPr="008B6B16" w:rsidRDefault="00354EDA" w:rsidP="00AC54D2">
      <w:pPr>
        <w:rPr>
          <w:rFonts w:ascii="Times New Roman" w:hAnsi="Times New Roman" w:cs="Times New Roman"/>
          <w:b/>
          <w:color w:val="000000" w:themeColor="text1"/>
        </w:rPr>
      </w:pPr>
    </w:p>
    <w:p w:rsidR="00354EDA" w:rsidRPr="002516D1" w:rsidRDefault="00AC54D2" w:rsidP="00354EDA">
      <w:pPr>
        <w:pStyle w:val="Heading2"/>
        <w:numPr>
          <w:ilvl w:val="1"/>
          <w:numId w:val="20"/>
        </w:numPr>
        <w:rPr>
          <w:rFonts w:eastAsia="Times New Roman"/>
          <w:b/>
          <w:color w:val="000000" w:themeColor="text1"/>
        </w:rPr>
      </w:pPr>
      <w:bookmarkStart w:id="16" w:name="_Toc218602370"/>
      <w:r w:rsidRPr="002516D1">
        <w:rPr>
          <w:rFonts w:eastAsia="Times New Roman"/>
          <w:b/>
          <w:color w:val="000000" w:themeColor="text1"/>
        </w:rPr>
        <w:lastRenderedPageBreak/>
        <w:t xml:space="preserve">Ndarjet Buxhetore </w:t>
      </w:r>
      <w:r w:rsidR="008B6B16" w:rsidRPr="002516D1">
        <w:rPr>
          <w:rFonts w:eastAsia="Times New Roman"/>
          <w:b/>
          <w:color w:val="000000" w:themeColor="text1"/>
        </w:rPr>
        <w:t xml:space="preserve">Sipas Kategorive Ekonomike Me </w:t>
      </w:r>
      <w:r w:rsidRPr="002516D1">
        <w:rPr>
          <w:rFonts w:eastAsia="Times New Roman"/>
          <w:b/>
          <w:color w:val="000000" w:themeColor="text1"/>
        </w:rPr>
        <w:t xml:space="preserve">Qarkoren </w:t>
      </w:r>
      <w:r w:rsidR="008B6B16" w:rsidRPr="002516D1">
        <w:rPr>
          <w:rFonts w:eastAsia="Times New Roman"/>
          <w:b/>
          <w:color w:val="000000" w:themeColor="text1"/>
        </w:rPr>
        <w:t>Buxhetore 2026/02</w:t>
      </w:r>
      <w:bookmarkEnd w:id="16"/>
    </w:p>
    <w:p w:rsidR="002516D1" w:rsidRPr="002516D1" w:rsidRDefault="002516D1" w:rsidP="0025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Tabelat në vijim paraqesin një pasqyrë të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shpërndarjes së shpenzimeve komunale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sipas: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Programeve ose kategorive funksionale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Kategorive ekonomike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. Këto shpenzime përfshijnë: </w:t>
      </w:r>
      <w:r w:rsidRPr="002516D1">
        <w:rPr>
          <w:rFonts w:ascii="Times New Roman" w:eastAsia="Times New Roman" w:hAnsi="Times New Roman" w:cs="Times New Roman"/>
          <w:bCs/>
          <w:sz w:val="24"/>
          <w:szCs w:val="24"/>
        </w:rPr>
        <w:t>Planifikimin për vitin 2026 dhe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6D1">
        <w:rPr>
          <w:rFonts w:ascii="Times New Roman" w:eastAsia="Times New Roman" w:hAnsi="Times New Roman" w:cs="Times New Roman"/>
          <w:bCs/>
          <w:sz w:val="24"/>
          <w:szCs w:val="24"/>
        </w:rPr>
        <w:t>projeksionet për vitin 2027 dhe 2028</w:t>
      </w:r>
    </w:p>
    <w:p w:rsidR="002516D1" w:rsidRPr="002516D1" w:rsidRDefault="002516D1" w:rsidP="0025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6D1">
        <w:rPr>
          <w:rFonts w:ascii="Times New Roman" w:eastAsia="Times New Roman" w:hAnsi="Times New Roman" w:cs="Times New Roman"/>
          <w:sz w:val="24"/>
          <w:szCs w:val="24"/>
        </w:rPr>
        <w:t>Qëllimi i këtyre tabelave është të ofrojë një pamje të qartë mbi: Ndarjen e shpenzimeve sipas kategorive ekonomike (paga, mallra dhe shërbime, investime kapitale etj.) dhe Perspektivën afatmesme për menaxhimin e buxhetit të komunës në tri vitet e ardhshme.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Kjo pasqyrë është në përputhje me </w:t>
      </w:r>
      <w:r w:rsidRPr="002516D1">
        <w:rPr>
          <w:rFonts w:ascii="Times New Roman" w:eastAsia="Times New Roman" w:hAnsi="Times New Roman" w:cs="Times New Roman"/>
          <w:b/>
          <w:bCs/>
          <w:sz w:val="24"/>
          <w:szCs w:val="24"/>
        </w:rPr>
        <w:t>udhëzimet e Qarkores Buxhetore komunale 2026–2028</w:t>
      </w:r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, duke respektuar fleksibilitetin e përdorimit të </w:t>
      </w:r>
      <w:proofErr w:type="spellStart"/>
      <w:r w:rsidRPr="002516D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hyrave </w:t>
      </w:r>
      <w:proofErr w:type="spellStart"/>
      <w:r w:rsidRPr="002516D1">
        <w:rPr>
          <w:rFonts w:ascii="Times New Roman" w:eastAsia="Times New Roman" w:hAnsi="Times New Roman" w:cs="Times New Roman"/>
          <w:sz w:val="24"/>
          <w:szCs w:val="24"/>
        </w:rPr>
        <w:t>vetanake</w:t>
      </w:r>
      <w:proofErr w:type="spellEnd"/>
      <w:r w:rsidRPr="002516D1">
        <w:rPr>
          <w:rFonts w:ascii="Times New Roman" w:eastAsia="Times New Roman" w:hAnsi="Times New Roman" w:cs="Times New Roman"/>
          <w:sz w:val="24"/>
          <w:szCs w:val="24"/>
        </w:rPr>
        <w:t xml:space="preserve"> për kategoritë e lejuara dhe duke siguruar menaxhim të qëndrueshëm financiar.</w:t>
      </w:r>
    </w:p>
    <w:tbl>
      <w:tblPr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952"/>
        <w:gridCol w:w="2178"/>
        <w:gridCol w:w="2299"/>
        <w:gridCol w:w="2476"/>
        <w:gridCol w:w="2004"/>
        <w:gridCol w:w="1649"/>
      </w:tblGrid>
      <w:tr w:rsidR="00AC54D2" w:rsidRPr="00AC54D2" w:rsidTr="00AC54D2">
        <w:trPr>
          <w:trHeight w:val="185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Tab.1</w:t>
            </w:r>
          </w:p>
        </w:tc>
        <w:tc>
          <w:tcPr>
            <w:tcW w:w="4130" w:type="dxa"/>
            <w:gridSpan w:val="2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Struktura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shpenzimeve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vitin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229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362"/>
        </w:trPr>
        <w:tc>
          <w:tcPr>
            <w:tcW w:w="756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Stafi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Paga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meditje</w:t>
            </w:r>
            <w:proofErr w:type="spellEnd"/>
          </w:p>
        </w:tc>
        <w:tc>
          <w:tcPr>
            <w:tcW w:w="2178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Mallra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sherbime</w:t>
            </w:r>
            <w:proofErr w:type="spellEnd"/>
          </w:p>
        </w:tc>
        <w:tc>
          <w:tcPr>
            <w:tcW w:w="2299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Shpenzime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komunale</w:t>
            </w:r>
            <w:proofErr w:type="spellEnd"/>
          </w:p>
        </w:tc>
        <w:tc>
          <w:tcPr>
            <w:tcW w:w="2476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Subvencione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transfere</w:t>
            </w:r>
            <w:proofErr w:type="spellEnd"/>
          </w:p>
        </w:tc>
        <w:tc>
          <w:tcPr>
            <w:tcW w:w="2004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kapitale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Totali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buxhetit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2025</w:t>
            </w:r>
          </w:p>
        </w:tc>
      </w:tr>
      <w:tr w:rsidR="00AC54D2" w:rsidRPr="00AC54D2" w:rsidTr="00AC54D2">
        <w:trPr>
          <w:trHeight w:val="177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177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898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8,445,561.00 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2,000,000.00 </w:t>
            </w:r>
          </w:p>
        </w:tc>
        <w:tc>
          <w:tcPr>
            <w:tcW w:w="229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300,000.00 </w:t>
            </w:r>
          </w:p>
        </w:tc>
        <w:tc>
          <w:tcPr>
            <w:tcW w:w="2476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   350,000.00 </w:t>
            </w: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3,456,413.00 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14,551,974.00 </w:t>
            </w:r>
          </w:p>
        </w:tc>
      </w:tr>
    </w:tbl>
    <w:p w:rsidR="00AC54D2" w:rsidRDefault="00AC54D2" w:rsidP="00AC54D2">
      <w:pPr>
        <w:rPr>
          <w:rFonts w:ascii="Times New Roman" w:hAnsi="Times New Roman" w:cs="Times New Roman"/>
        </w:rPr>
      </w:pPr>
    </w:p>
    <w:tbl>
      <w:tblPr>
        <w:tblW w:w="1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943"/>
        <w:gridCol w:w="2239"/>
        <w:gridCol w:w="2219"/>
        <w:gridCol w:w="2465"/>
        <w:gridCol w:w="1995"/>
        <w:gridCol w:w="1642"/>
      </w:tblGrid>
      <w:tr w:rsidR="00AC54D2" w:rsidRPr="00AC54D2" w:rsidTr="00AC54D2">
        <w:trPr>
          <w:trHeight w:val="190"/>
        </w:trPr>
        <w:tc>
          <w:tcPr>
            <w:tcW w:w="76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Tab.2</w:t>
            </w:r>
          </w:p>
        </w:tc>
        <w:tc>
          <w:tcPr>
            <w:tcW w:w="4182" w:type="dxa"/>
            <w:gridSpan w:val="2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ruktura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shpenzimeve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vitin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221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373"/>
        </w:trPr>
        <w:tc>
          <w:tcPr>
            <w:tcW w:w="768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Stafi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Paga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meditje</w:t>
            </w:r>
            <w:proofErr w:type="spellEnd"/>
          </w:p>
        </w:tc>
        <w:tc>
          <w:tcPr>
            <w:tcW w:w="2239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Mallra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sherbime</w:t>
            </w:r>
            <w:proofErr w:type="spellEnd"/>
          </w:p>
        </w:tc>
        <w:tc>
          <w:tcPr>
            <w:tcW w:w="2219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Shpenzime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komunale</w:t>
            </w:r>
            <w:proofErr w:type="spellEnd"/>
          </w:p>
        </w:tc>
        <w:tc>
          <w:tcPr>
            <w:tcW w:w="2465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Subvencione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transfere</w:t>
            </w:r>
            <w:proofErr w:type="spellEnd"/>
          </w:p>
        </w:tc>
        <w:tc>
          <w:tcPr>
            <w:tcW w:w="1995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kapitale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Totali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buxhetit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2026</w:t>
            </w:r>
          </w:p>
        </w:tc>
      </w:tr>
      <w:tr w:rsidR="00AC54D2" w:rsidRPr="00AC54D2" w:rsidTr="00AC54D2">
        <w:trPr>
          <w:trHeight w:val="182"/>
        </w:trPr>
        <w:tc>
          <w:tcPr>
            <w:tcW w:w="76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6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182"/>
        </w:trPr>
        <w:tc>
          <w:tcPr>
            <w:tcW w:w="76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898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8,487,789.00 </w:t>
            </w:r>
          </w:p>
        </w:tc>
        <w:tc>
          <w:tcPr>
            <w:tcW w:w="223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2,336,526.00 </w:t>
            </w:r>
          </w:p>
        </w:tc>
        <w:tc>
          <w:tcPr>
            <w:tcW w:w="221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300,000.00 </w:t>
            </w:r>
          </w:p>
        </w:tc>
        <w:tc>
          <w:tcPr>
            <w:tcW w:w="246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   350,000.00 </w:t>
            </w:r>
          </w:p>
        </w:tc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2,939,657.00 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14,413,972.00 </w:t>
            </w:r>
          </w:p>
        </w:tc>
      </w:tr>
    </w:tbl>
    <w:p w:rsidR="002853DA" w:rsidRDefault="002853DA" w:rsidP="0031264F">
      <w:pPr>
        <w:rPr>
          <w:rFonts w:ascii="Times New Roman" w:hAnsi="Times New Roman" w:cs="Times New Roman"/>
        </w:rPr>
      </w:pPr>
    </w:p>
    <w:tbl>
      <w:tblPr>
        <w:tblW w:w="1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62"/>
        <w:gridCol w:w="2191"/>
        <w:gridCol w:w="2312"/>
        <w:gridCol w:w="2490"/>
        <w:gridCol w:w="2015"/>
        <w:gridCol w:w="1658"/>
      </w:tblGrid>
      <w:tr w:rsidR="00AC54D2" w:rsidRPr="00AC54D2" w:rsidTr="00AC54D2">
        <w:trPr>
          <w:trHeight w:val="166"/>
        </w:trPr>
        <w:tc>
          <w:tcPr>
            <w:tcW w:w="76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Tab.3</w:t>
            </w:r>
          </w:p>
        </w:tc>
        <w:tc>
          <w:tcPr>
            <w:tcW w:w="4153" w:type="dxa"/>
            <w:gridSpan w:val="2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Struktura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shpenzimeve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për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vitin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2028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326"/>
        </w:trPr>
        <w:tc>
          <w:tcPr>
            <w:tcW w:w="769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Stafi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Paga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meditje</w:t>
            </w:r>
            <w:proofErr w:type="spellEnd"/>
          </w:p>
        </w:tc>
        <w:tc>
          <w:tcPr>
            <w:tcW w:w="2190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Mallra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sherbime</w:t>
            </w:r>
            <w:proofErr w:type="spellEnd"/>
          </w:p>
        </w:tc>
        <w:tc>
          <w:tcPr>
            <w:tcW w:w="2312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Shpenzime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komunale</w:t>
            </w:r>
            <w:proofErr w:type="spellEnd"/>
          </w:p>
        </w:tc>
        <w:tc>
          <w:tcPr>
            <w:tcW w:w="2490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Subvencione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transfere</w:t>
            </w:r>
            <w:proofErr w:type="spellEnd"/>
          </w:p>
        </w:tc>
        <w:tc>
          <w:tcPr>
            <w:tcW w:w="2015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Investime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kapitale</w:t>
            </w:r>
            <w:proofErr w:type="spellEnd"/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Totali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buxhetit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2027</w:t>
            </w:r>
          </w:p>
        </w:tc>
      </w:tr>
      <w:tr w:rsidR="00AC54D2" w:rsidRPr="00AC54D2" w:rsidTr="00AC54D2">
        <w:trPr>
          <w:trHeight w:val="159"/>
        </w:trPr>
        <w:tc>
          <w:tcPr>
            <w:tcW w:w="76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4D2" w:rsidRPr="00AC54D2" w:rsidTr="00AC54D2">
        <w:trPr>
          <w:trHeight w:val="159"/>
        </w:trPr>
        <w:tc>
          <w:tcPr>
            <w:tcW w:w="769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898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8,530,227.00 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2,336,480.00 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800,000.00 </w:t>
            </w: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           450,000.00 </w:t>
            </w: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         3,009,455.00 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15,126,162.00 </w:t>
            </w:r>
          </w:p>
        </w:tc>
      </w:tr>
    </w:tbl>
    <w:p w:rsidR="00354EDA" w:rsidRPr="00811388" w:rsidRDefault="00354EDA" w:rsidP="00B64526">
      <w:pPr>
        <w:rPr>
          <w:rFonts w:ascii="Times New Roman" w:hAnsi="Times New Roman" w:cs="Times New Roman"/>
        </w:rPr>
      </w:pPr>
    </w:p>
    <w:tbl>
      <w:tblPr>
        <w:tblW w:w="6569" w:type="dxa"/>
        <w:tblLook w:val="04A0" w:firstRow="1" w:lastRow="0" w:firstColumn="1" w:lastColumn="0" w:noHBand="0" w:noVBand="1"/>
      </w:tblPr>
      <w:tblGrid>
        <w:gridCol w:w="3473"/>
        <w:gridCol w:w="3096"/>
      </w:tblGrid>
      <w:tr w:rsidR="00AC54D2" w:rsidRPr="00AC54D2" w:rsidTr="00B64526">
        <w:trPr>
          <w:trHeight w:val="405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Struktura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shpenzimeve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të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pagave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për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vitin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2026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Stafi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898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Paga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bazë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7,209,606.00 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Përvoja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e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punës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384,503.00 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Shtesat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kompensimet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tjera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203,353.00 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Paga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për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pozitat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e pa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plotësuara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254,720.00 </w:t>
            </w:r>
          </w:p>
        </w:tc>
      </w:tr>
      <w:tr w:rsidR="00AC54D2" w:rsidRPr="00AC54D2" w:rsidTr="00B64526">
        <w:trPr>
          <w:trHeight w:val="40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Shtesat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tranzitore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5,784.00 </w:t>
            </w:r>
          </w:p>
        </w:tc>
      </w:tr>
      <w:tr w:rsidR="00AC54D2" w:rsidRPr="00AC54D2" w:rsidTr="00B64526">
        <w:trPr>
          <w:trHeight w:val="425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Kontributi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i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punëdhënësit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387,596.00 </w:t>
            </w:r>
          </w:p>
        </w:tc>
      </w:tr>
      <w:tr w:rsidR="00AC54D2" w:rsidRPr="00AC54D2" w:rsidTr="00B64526">
        <w:trPr>
          <w:trHeight w:val="649"/>
        </w:trPr>
        <w:tc>
          <w:tcPr>
            <w:tcW w:w="3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Total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pagat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dhe</w:t>
            </w:r>
            <w:proofErr w:type="spellEnd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Shtesat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D2" w:rsidRPr="00AC54D2" w:rsidRDefault="00AC54D2" w:rsidP="00AC54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C54D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                          8,445,562.00 </w:t>
            </w:r>
          </w:p>
        </w:tc>
      </w:tr>
    </w:tbl>
    <w:p w:rsidR="0031264F" w:rsidRPr="00811388" w:rsidRDefault="0031264F" w:rsidP="008B6B16">
      <w:pPr>
        <w:pStyle w:val="Heading1"/>
      </w:pPr>
    </w:p>
    <w:p w:rsidR="001A794F" w:rsidRPr="00847B5F" w:rsidRDefault="001A794F" w:rsidP="001A794F">
      <w:pPr>
        <w:pStyle w:val="Heading1"/>
        <w:numPr>
          <w:ilvl w:val="0"/>
          <w:numId w:val="20"/>
        </w:numPr>
        <w:rPr>
          <w:b/>
          <w:color w:val="000000" w:themeColor="text1"/>
        </w:rPr>
      </w:pPr>
      <w:bookmarkStart w:id="17" w:name="_Toc218602371"/>
      <w:r w:rsidRPr="00847B5F">
        <w:rPr>
          <w:b/>
          <w:color w:val="000000" w:themeColor="text1"/>
        </w:rPr>
        <w:t xml:space="preserve">Sektori i Financave – Zyra e të Hyrave </w:t>
      </w:r>
      <w:proofErr w:type="spellStart"/>
      <w:r w:rsidRPr="00847B5F">
        <w:rPr>
          <w:b/>
          <w:color w:val="000000" w:themeColor="text1"/>
        </w:rPr>
        <w:t>Vetanake</w:t>
      </w:r>
      <w:proofErr w:type="spellEnd"/>
      <w:r w:rsidRPr="00847B5F">
        <w:rPr>
          <w:b/>
          <w:color w:val="000000" w:themeColor="text1"/>
        </w:rPr>
        <w:t xml:space="preserve"> (Viti 2026)</w:t>
      </w:r>
      <w:bookmarkEnd w:id="17"/>
    </w:p>
    <w:p w:rsidR="001A794F" w:rsidRPr="00847B5F" w:rsidRDefault="001A794F" w:rsidP="001A794F">
      <w:pPr>
        <w:pStyle w:val="NormalWeb"/>
        <w:rPr>
          <w:lang w:val="sq-AL"/>
        </w:rPr>
      </w:pPr>
      <w:r w:rsidRPr="00847B5F">
        <w:rPr>
          <w:rStyle w:val="Strong"/>
          <w:lang w:val="sq-AL"/>
        </w:rPr>
        <w:t>Qëllimi:</w:t>
      </w:r>
      <w:r w:rsidRPr="00847B5F">
        <w:rPr>
          <w:lang w:val="sq-AL"/>
        </w:rPr>
        <w:t xml:space="preserve"> Sigurimi i arkëtimit efikas, regjistrimit korrekt dhe raportimit të </w:t>
      </w:r>
      <w:proofErr w:type="spellStart"/>
      <w:r w:rsidRPr="00847B5F">
        <w:rPr>
          <w:lang w:val="sq-AL"/>
        </w:rPr>
        <w:t>të</w:t>
      </w:r>
      <w:proofErr w:type="spellEnd"/>
      <w:r w:rsidRPr="00847B5F">
        <w:rPr>
          <w:lang w:val="sq-AL"/>
        </w:rPr>
        <w:t xml:space="preserve"> hyrave </w:t>
      </w:r>
      <w:proofErr w:type="spellStart"/>
      <w:r w:rsidRPr="00847B5F">
        <w:rPr>
          <w:lang w:val="sq-AL"/>
        </w:rPr>
        <w:t>vetanake</w:t>
      </w:r>
      <w:proofErr w:type="spellEnd"/>
      <w:r w:rsidRPr="00847B5F">
        <w:rPr>
          <w:lang w:val="sq-AL"/>
        </w:rPr>
        <w:t xml:space="preserve"> komunale sipas ligjeve dhe udhëzimeve financiare.</w:t>
      </w:r>
    </w:p>
    <w:p w:rsidR="001A794F" w:rsidRPr="00847B5F" w:rsidRDefault="001A794F" w:rsidP="001A794F">
      <w:pPr>
        <w:pStyle w:val="Heading2"/>
        <w:numPr>
          <w:ilvl w:val="1"/>
          <w:numId w:val="20"/>
        </w:numPr>
        <w:rPr>
          <w:b/>
          <w:color w:val="000000" w:themeColor="text1"/>
        </w:rPr>
      </w:pPr>
      <w:bookmarkStart w:id="18" w:name="_Toc218602372"/>
      <w:r w:rsidRPr="00847B5F">
        <w:rPr>
          <w:b/>
          <w:color w:val="000000" w:themeColor="text1"/>
        </w:rPr>
        <w:t>Aktivitetet kryesore për vitin 2026:</w:t>
      </w:r>
      <w:bookmarkEnd w:id="18"/>
    </w:p>
    <w:p w:rsidR="001A794F" w:rsidRPr="00847B5F" w:rsidRDefault="001A794F" w:rsidP="001A794F">
      <w:pPr>
        <w:pStyle w:val="NormalWeb"/>
        <w:numPr>
          <w:ilvl w:val="0"/>
          <w:numId w:val="28"/>
        </w:numPr>
        <w:rPr>
          <w:lang w:val="sq-AL"/>
        </w:rPr>
      </w:pPr>
      <w:r w:rsidRPr="00847B5F">
        <w:rPr>
          <w:rStyle w:val="Strong"/>
          <w:lang w:val="sq-AL"/>
        </w:rPr>
        <w:t>Përgatitjet teknike dhe organizative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Hartimi i të gjitha procedurave për punë efektive dhe arritjen e rezultateve optimale.</w:t>
      </w:r>
    </w:p>
    <w:p w:rsidR="001A794F" w:rsidRPr="00847B5F" w:rsidRDefault="001A794F" w:rsidP="001A794F">
      <w:pPr>
        <w:pStyle w:val="NormalWeb"/>
        <w:numPr>
          <w:ilvl w:val="0"/>
          <w:numId w:val="28"/>
        </w:numPr>
        <w:rPr>
          <w:lang w:val="sq-AL"/>
        </w:rPr>
      </w:pPr>
      <w:r w:rsidRPr="00847B5F">
        <w:rPr>
          <w:rStyle w:val="Strong"/>
          <w:lang w:val="sq-AL"/>
        </w:rPr>
        <w:t>Planifikimi i të hyrave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Planifikimi sipas llojeve dhe programeve brenda komunës.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Harmonizimi i planifikimit me pozicionet buxhetore të miratuara.</w:t>
      </w:r>
    </w:p>
    <w:p w:rsidR="001A794F" w:rsidRPr="00847B5F" w:rsidRDefault="001A794F" w:rsidP="001A794F">
      <w:pPr>
        <w:pStyle w:val="NormalWeb"/>
        <w:numPr>
          <w:ilvl w:val="0"/>
          <w:numId w:val="28"/>
        </w:numPr>
        <w:rPr>
          <w:lang w:val="sq-AL"/>
        </w:rPr>
      </w:pPr>
      <w:r w:rsidRPr="00847B5F">
        <w:rPr>
          <w:rStyle w:val="Strong"/>
          <w:lang w:val="sq-AL"/>
        </w:rPr>
        <w:t>Monitorimi dhe raportimi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lastRenderedPageBreak/>
        <w:t>Përgatitja e raporteve mujore për arkëtimin e të gjitha</w:t>
      </w:r>
      <w:bookmarkStart w:id="19" w:name="_GoBack"/>
      <w:bookmarkEnd w:id="19"/>
      <w:r w:rsidRPr="00847B5F">
        <w:rPr>
          <w:lang w:val="sq-AL"/>
        </w:rPr>
        <w:t xml:space="preserve"> të hyrave komunale sipas llojeve dhe programeve.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Barazimi mujor me drejtoritë komunale dhe Departamentin e Thesarit në Ministrinë e Financave.</w:t>
      </w:r>
    </w:p>
    <w:p w:rsidR="001A794F" w:rsidRPr="00847B5F" w:rsidRDefault="001A794F" w:rsidP="001A794F">
      <w:pPr>
        <w:pStyle w:val="NormalWeb"/>
        <w:numPr>
          <w:ilvl w:val="0"/>
          <w:numId w:val="28"/>
        </w:numPr>
        <w:rPr>
          <w:lang w:val="sq-AL"/>
        </w:rPr>
      </w:pPr>
      <w:r w:rsidRPr="00847B5F">
        <w:rPr>
          <w:rStyle w:val="Strong"/>
          <w:lang w:val="sq-AL"/>
        </w:rPr>
        <w:t>Arkëtimi dhe regjistrimi i të hyrave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Arkëtimi ditor i të hyrave nga taksat, tarifat dhe shërbimet komunale.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 xml:space="preserve">Regjistrimi i të hyrave në </w:t>
      </w:r>
      <w:proofErr w:type="spellStart"/>
      <w:r w:rsidRPr="00847B5F">
        <w:rPr>
          <w:rStyle w:val="Strong"/>
          <w:lang w:val="sq-AL"/>
        </w:rPr>
        <w:t>Free</w:t>
      </w:r>
      <w:proofErr w:type="spellEnd"/>
      <w:r w:rsidRPr="00847B5F">
        <w:rPr>
          <w:rStyle w:val="Strong"/>
          <w:lang w:val="sq-AL"/>
        </w:rPr>
        <w:t xml:space="preserve"> Balance</w:t>
      </w:r>
      <w:r w:rsidRPr="00847B5F">
        <w:rPr>
          <w:lang w:val="sq-AL"/>
        </w:rPr>
        <w:t xml:space="preserve"> (Sistemi i Ministrisë së Financave).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Nxjerrja e raporteve bankare për pasqyrimin e të hyrave të arkëtuara.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 xml:space="preserve">Shpërndarja dhe </w:t>
      </w:r>
      <w:proofErr w:type="spellStart"/>
      <w:r w:rsidRPr="00847B5F">
        <w:rPr>
          <w:lang w:val="sq-AL"/>
        </w:rPr>
        <w:t>alokimi</w:t>
      </w:r>
      <w:proofErr w:type="spellEnd"/>
      <w:r w:rsidRPr="00847B5F">
        <w:rPr>
          <w:lang w:val="sq-AL"/>
        </w:rPr>
        <w:t xml:space="preserve"> mujor i të hyrave sipas pozicioneve buxhetore.</w:t>
      </w:r>
    </w:p>
    <w:p w:rsidR="001A794F" w:rsidRPr="00847B5F" w:rsidRDefault="001A794F" w:rsidP="001A794F">
      <w:pPr>
        <w:pStyle w:val="NormalWeb"/>
        <w:numPr>
          <w:ilvl w:val="0"/>
          <w:numId w:val="28"/>
        </w:numPr>
        <w:rPr>
          <w:lang w:val="sq-AL"/>
        </w:rPr>
      </w:pPr>
      <w:r w:rsidRPr="00847B5F">
        <w:rPr>
          <w:rStyle w:val="Strong"/>
          <w:lang w:val="sq-AL"/>
        </w:rPr>
        <w:t>Bashkëpunimi me institucionet qendrore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>Koordinim permanent me Ministrinë e Financave, Departamentin e Buxhetit dhe Thesarit.</w:t>
      </w:r>
    </w:p>
    <w:p w:rsidR="001A794F" w:rsidRPr="00847B5F" w:rsidRDefault="001A794F" w:rsidP="001A794F">
      <w:pPr>
        <w:pStyle w:val="NormalWeb"/>
        <w:numPr>
          <w:ilvl w:val="1"/>
          <w:numId w:val="28"/>
        </w:numPr>
        <w:rPr>
          <w:lang w:val="sq-AL"/>
        </w:rPr>
      </w:pPr>
      <w:r w:rsidRPr="00847B5F">
        <w:rPr>
          <w:lang w:val="sq-AL"/>
        </w:rPr>
        <w:t xml:space="preserve">Përgatitja për ndryshime eventuale të </w:t>
      </w:r>
      <w:proofErr w:type="spellStart"/>
      <w:r w:rsidRPr="00847B5F">
        <w:rPr>
          <w:lang w:val="sq-AL"/>
        </w:rPr>
        <w:t>granteve</w:t>
      </w:r>
      <w:proofErr w:type="spellEnd"/>
      <w:r w:rsidRPr="00847B5F">
        <w:rPr>
          <w:lang w:val="sq-AL"/>
        </w:rPr>
        <w:t xml:space="preserve"> dhe donacioneve stimuluese për Komunën.</w:t>
      </w:r>
    </w:p>
    <w:p w:rsidR="008B6B16" w:rsidRPr="00354EDA" w:rsidRDefault="008B6B16" w:rsidP="00354EDA">
      <w:pPr>
        <w:pStyle w:val="Heading2"/>
        <w:rPr>
          <w:rFonts w:eastAsia="Times New Roman"/>
          <w:b/>
          <w:color w:val="000000" w:themeColor="text1"/>
          <w:lang w:val="en-US"/>
        </w:rPr>
      </w:pPr>
    </w:p>
    <w:p w:rsidR="008B6B16" w:rsidRPr="00354EDA" w:rsidRDefault="008B6B16" w:rsidP="00354EDA">
      <w:pPr>
        <w:pStyle w:val="Heading2"/>
        <w:numPr>
          <w:ilvl w:val="1"/>
          <w:numId w:val="20"/>
        </w:numPr>
        <w:rPr>
          <w:rFonts w:eastAsia="Times New Roman"/>
          <w:b/>
          <w:color w:val="000000" w:themeColor="text1"/>
          <w:lang w:val="en-US"/>
        </w:rPr>
      </w:pPr>
      <w:bookmarkStart w:id="20" w:name="_Toc218602373"/>
      <w:proofErr w:type="spellStart"/>
      <w:r w:rsidRPr="00354EDA">
        <w:rPr>
          <w:rFonts w:eastAsia="Times New Roman"/>
          <w:b/>
          <w:color w:val="000000" w:themeColor="text1"/>
          <w:lang w:val="en-US"/>
        </w:rPr>
        <w:t>Projeksionet</w:t>
      </w:r>
      <w:proofErr w:type="spellEnd"/>
      <w:r w:rsidRPr="00354EDA">
        <w:rPr>
          <w:rFonts w:eastAsia="Times New Roman"/>
          <w:b/>
          <w:color w:val="000000" w:themeColor="text1"/>
          <w:lang w:val="en-US"/>
        </w:rPr>
        <w:t xml:space="preserve"> e </w:t>
      </w:r>
      <w:proofErr w:type="spellStart"/>
      <w:r w:rsidRPr="00354EDA">
        <w:rPr>
          <w:rFonts w:eastAsia="Times New Roman"/>
          <w:b/>
          <w:color w:val="000000" w:themeColor="text1"/>
          <w:lang w:val="en-US"/>
        </w:rPr>
        <w:t>të</w:t>
      </w:r>
      <w:proofErr w:type="spellEnd"/>
      <w:r w:rsidRPr="00354EDA">
        <w:rPr>
          <w:rFonts w:eastAsia="Times New Roman"/>
          <w:b/>
          <w:color w:val="000000" w:themeColor="text1"/>
          <w:lang w:val="en-US"/>
        </w:rPr>
        <w:t xml:space="preserve"> </w:t>
      </w:r>
      <w:proofErr w:type="spellStart"/>
      <w:r w:rsidRPr="00354EDA">
        <w:rPr>
          <w:rFonts w:eastAsia="Times New Roman"/>
          <w:b/>
          <w:color w:val="000000" w:themeColor="text1"/>
          <w:lang w:val="en-US"/>
        </w:rPr>
        <w:t>Hyrave</w:t>
      </w:r>
      <w:proofErr w:type="spellEnd"/>
      <w:r w:rsidRPr="00354EDA">
        <w:rPr>
          <w:rFonts w:eastAsia="Times New Roman"/>
          <w:b/>
          <w:color w:val="000000" w:themeColor="text1"/>
          <w:lang w:val="en-US"/>
        </w:rPr>
        <w:t xml:space="preserve"> </w:t>
      </w:r>
      <w:proofErr w:type="spellStart"/>
      <w:r w:rsidRPr="00354EDA">
        <w:rPr>
          <w:rFonts w:eastAsia="Times New Roman"/>
          <w:b/>
          <w:color w:val="000000" w:themeColor="text1"/>
          <w:lang w:val="en-US"/>
        </w:rPr>
        <w:t>Vetanake</w:t>
      </w:r>
      <w:proofErr w:type="spellEnd"/>
      <w:r w:rsidRPr="00354EDA">
        <w:rPr>
          <w:rFonts w:eastAsia="Times New Roman"/>
          <w:b/>
          <w:color w:val="000000" w:themeColor="text1"/>
          <w:lang w:val="en-US"/>
        </w:rPr>
        <w:t xml:space="preserve"> 2026-2028</w:t>
      </w:r>
      <w:bookmarkEnd w:id="20"/>
    </w:p>
    <w:p w:rsidR="008B6B16" w:rsidRDefault="008B6B16" w:rsidP="008B6B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2410"/>
        <w:gridCol w:w="2701"/>
        <w:gridCol w:w="2821"/>
        <w:gridCol w:w="3066"/>
      </w:tblGrid>
      <w:tr w:rsidR="008B6B16" w:rsidRPr="00B64526" w:rsidTr="00E51E42">
        <w:trPr>
          <w:trHeight w:val="46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pronë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2026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tokë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2026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THV jo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tatimore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2026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I THV 2026</w:t>
            </w:r>
          </w:p>
        </w:tc>
      </w:tr>
      <w:tr w:rsidR="008B6B16" w:rsidRPr="00B64526" w:rsidTr="00E51E42">
        <w:trPr>
          <w:trHeight w:val="28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480,541.00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116,634.00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371,104.00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968,279.00 </w:t>
            </w:r>
          </w:p>
        </w:tc>
      </w:tr>
    </w:tbl>
    <w:p w:rsidR="008B6B16" w:rsidRPr="00B64526" w:rsidRDefault="008B6B16" w:rsidP="008B6B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</w:p>
    <w:tbl>
      <w:tblPr>
        <w:tblW w:w="11010" w:type="dxa"/>
        <w:tblLook w:val="04A0" w:firstRow="1" w:lastRow="0" w:firstColumn="1" w:lastColumn="0" w:noHBand="0" w:noVBand="1"/>
      </w:tblPr>
      <w:tblGrid>
        <w:gridCol w:w="2422"/>
        <w:gridCol w:w="2714"/>
        <w:gridCol w:w="2834"/>
        <w:gridCol w:w="3040"/>
      </w:tblGrid>
      <w:tr w:rsidR="008B6B16" w:rsidRPr="00B64526" w:rsidTr="00E51E42">
        <w:trPr>
          <w:trHeight w:val="350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pronë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2027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tokë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2027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THV jo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tatimore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2027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I THV 2027</w:t>
            </w:r>
          </w:p>
        </w:tc>
      </w:tr>
      <w:tr w:rsidR="008B6B16" w:rsidRPr="00B64526" w:rsidTr="00E51E42">
        <w:trPr>
          <w:trHeight w:val="229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515,380.00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141,127.00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389,659.00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1,046,166.00 </w:t>
            </w:r>
          </w:p>
        </w:tc>
      </w:tr>
    </w:tbl>
    <w:p w:rsidR="008B6B16" w:rsidRDefault="008B6B16" w:rsidP="008B6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71" w:type="dxa"/>
        <w:tblLook w:val="04A0" w:firstRow="1" w:lastRow="0" w:firstColumn="1" w:lastColumn="0" w:noHBand="0" w:noVBand="1"/>
      </w:tblPr>
      <w:tblGrid>
        <w:gridCol w:w="2435"/>
        <w:gridCol w:w="2729"/>
        <w:gridCol w:w="2850"/>
        <w:gridCol w:w="3057"/>
      </w:tblGrid>
      <w:tr w:rsidR="008B6B16" w:rsidRPr="00B64526" w:rsidTr="00E51E42">
        <w:trPr>
          <w:trHeight w:val="454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pronë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2028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tokë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2028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THV jo </w:t>
            </w: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tatimore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2028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</w:t>
            </w:r>
            <w:proofErr w:type="spellEnd"/>
            <w:r w:rsidRPr="00B64526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I THV 2028</w:t>
            </w:r>
          </w:p>
        </w:tc>
      </w:tr>
      <w:tr w:rsidR="008B6B16" w:rsidRPr="00B64526" w:rsidTr="00E51E42">
        <w:trPr>
          <w:trHeight w:val="272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520,534.00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141,833.00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389,659.00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B16" w:rsidRPr="00B64526" w:rsidRDefault="008B6B16" w:rsidP="00E51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6452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1,052,026.00 </w:t>
            </w:r>
          </w:p>
        </w:tc>
      </w:tr>
    </w:tbl>
    <w:p w:rsidR="008B6B16" w:rsidRDefault="008B6B16" w:rsidP="008B6B16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8D7E3A" w:rsidRPr="00811388" w:rsidRDefault="008D7E3A" w:rsidP="00263F4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B6B16" w:rsidRPr="00ED5935" w:rsidRDefault="00354EDA" w:rsidP="00ED5935">
      <w:pPr>
        <w:pStyle w:val="Heading1"/>
        <w:numPr>
          <w:ilvl w:val="0"/>
          <w:numId w:val="20"/>
        </w:numPr>
        <w:rPr>
          <w:b/>
          <w:color w:val="000000" w:themeColor="text1"/>
        </w:rPr>
      </w:pPr>
      <w:bookmarkStart w:id="21" w:name="_Toc111675270"/>
      <w:bookmarkStart w:id="22" w:name="_Toc111675380"/>
      <w:bookmarkStart w:id="23" w:name="_Toc157004515"/>
      <w:bookmarkStart w:id="24" w:name="_Toc218602374"/>
      <w:r w:rsidRPr="00ED5935">
        <w:rPr>
          <w:b/>
          <w:color w:val="000000" w:themeColor="text1"/>
        </w:rPr>
        <w:t>Sektori i Tatimit mbi Pronën</w:t>
      </w:r>
      <w:bookmarkEnd w:id="21"/>
      <w:bookmarkEnd w:id="22"/>
      <w:bookmarkEnd w:id="23"/>
      <w:bookmarkEnd w:id="24"/>
      <w:r w:rsidRPr="00ED5935">
        <w:rPr>
          <w:b/>
          <w:color w:val="000000" w:themeColor="text1"/>
        </w:rPr>
        <w:t xml:space="preserve"> </w:t>
      </w:r>
    </w:p>
    <w:p w:rsidR="00ED5935" w:rsidRDefault="00ED5935" w:rsidP="00ED5935">
      <w:pPr>
        <w:pStyle w:val="NormalWeb"/>
      </w:pPr>
      <w:proofErr w:type="spellStart"/>
      <w:r>
        <w:rPr>
          <w:rStyle w:val="Strong"/>
        </w:rPr>
        <w:t>Qëllimi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Menaxhimi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inkasimi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, </w:t>
      </w:r>
      <w:proofErr w:type="spellStart"/>
      <w:r>
        <w:t>përputhshmërisht</w:t>
      </w:r>
      <w:proofErr w:type="spellEnd"/>
      <w:r>
        <w:t xml:space="preserve"> me </w:t>
      </w:r>
      <w:proofErr w:type="spellStart"/>
      <w:r>
        <w:t>vendimet</w:t>
      </w:r>
      <w:proofErr w:type="spellEnd"/>
      <w:r>
        <w:t xml:space="preserve"> administrative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programet</w:t>
      </w:r>
      <w:proofErr w:type="spellEnd"/>
      <w:r>
        <w:t xml:space="preserve"> e </w:t>
      </w:r>
      <w:proofErr w:type="spellStart"/>
      <w:r>
        <w:t>planifikuara</w:t>
      </w:r>
      <w:proofErr w:type="spellEnd"/>
      <w:r>
        <w:t>.</w:t>
      </w:r>
    </w:p>
    <w:p w:rsidR="00ED5935" w:rsidRPr="00ED5935" w:rsidRDefault="00ED5935" w:rsidP="00ED5935">
      <w:pPr>
        <w:pStyle w:val="Heading2"/>
        <w:numPr>
          <w:ilvl w:val="1"/>
          <w:numId w:val="20"/>
        </w:numPr>
        <w:rPr>
          <w:b/>
          <w:color w:val="000000" w:themeColor="text1"/>
        </w:rPr>
      </w:pPr>
      <w:bookmarkStart w:id="25" w:name="_Toc218602375"/>
      <w:r w:rsidRPr="00ED5935">
        <w:rPr>
          <w:b/>
          <w:color w:val="000000" w:themeColor="text1"/>
        </w:rPr>
        <w:lastRenderedPageBreak/>
        <w:t>Aktivitetet kryesore:</w:t>
      </w:r>
      <w:bookmarkEnd w:id="25"/>
    </w:p>
    <w:p w:rsidR="00ED5935" w:rsidRDefault="00ED5935" w:rsidP="00ED5935">
      <w:pPr>
        <w:pStyle w:val="NormalWeb"/>
        <w:numPr>
          <w:ilvl w:val="0"/>
          <w:numId w:val="29"/>
        </w:numPr>
      </w:pPr>
      <w:proofErr w:type="spellStart"/>
      <w:r>
        <w:rPr>
          <w:rStyle w:val="Strong"/>
        </w:rPr>
        <w:t>Lëshimi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faturave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tatimore</w:t>
      </w:r>
      <w:proofErr w:type="spellEnd"/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Parashikohet</w:t>
      </w:r>
      <w:proofErr w:type="spellEnd"/>
      <w:r>
        <w:t xml:space="preserve"> </w:t>
      </w:r>
      <w:proofErr w:type="spellStart"/>
      <w:r>
        <w:t>lëshimi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rStyle w:val="Strong"/>
        </w:rPr>
        <w:t xml:space="preserve">9,782 </w:t>
      </w:r>
      <w:proofErr w:type="spellStart"/>
      <w:r>
        <w:rPr>
          <w:rStyle w:val="Strong"/>
        </w:rPr>
        <w:t>faturave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tatimore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aktive</w:t>
      </w:r>
      <w:proofErr w:type="spellEnd"/>
      <w:r>
        <w:t>:</w:t>
      </w:r>
    </w:p>
    <w:p w:rsidR="00ED5935" w:rsidRDefault="00ED5935" w:rsidP="00ED5935">
      <w:pPr>
        <w:pStyle w:val="NormalWeb"/>
        <w:numPr>
          <w:ilvl w:val="2"/>
          <w:numId w:val="29"/>
        </w:numPr>
      </w:pPr>
      <w:proofErr w:type="spellStart"/>
      <w:r>
        <w:t>Objekte</w:t>
      </w:r>
      <w:proofErr w:type="spellEnd"/>
      <w:r>
        <w:t>: 121,518.61 €</w:t>
      </w:r>
    </w:p>
    <w:p w:rsidR="00ED5935" w:rsidRDefault="00ED5935" w:rsidP="00ED5935">
      <w:pPr>
        <w:pStyle w:val="NormalWeb"/>
        <w:numPr>
          <w:ilvl w:val="2"/>
          <w:numId w:val="29"/>
        </w:numPr>
      </w:pPr>
      <w:proofErr w:type="spellStart"/>
      <w:r>
        <w:t>Parcela</w:t>
      </w:r>
      <w:proofErr w:type="spellEnd"/>
      <w:r>
        <w:t>: 473,813.72 €</w:t>
      </w:r>
    </w:p>
    <w:p w:rsidR="00ED5935" w:rsidRDefault="00ED5935" w:rsidP="00ED5935">
      <w:pPr>
        <w:pStyle w:val="NormalWeb"/>
        <w:numPr>
          <w:ilvl w:val="2"/>
          <w:numId w:val="29"/>
        </w:numPr>
      </w:pPr>
      <w:proofErr w:type="spellStart"/>
      <w:r>
        <w:rPr>
          <w:rStyle w:val="Strong"/>
        </w:rPr>
        <w:t>Totali</w:t>
      </w:r>
      <w:proofErr w:type="spellEnd"/>
      <w:r>
        <w:rPr>
          <w:rStyle w:val="Strong"/>
        </w:rPr>
        <w:t>:</w:t>
      </w:r>
      <w:r>
        <w:t xml:space="preserve"> 593,332.33 €</w:t>
      </w:r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Shpërndarja</w:t>
      </w:r>
      <w:proofErr w:type="spellEnd"/>
      <w:r>
        <w:t xml:space="preserve"> e </w:t>
      </w:r>
      <w:proofErr w:type="spellStart"/>
      <w:r>
        <w:t>faturave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rPr>
          <w:rStyle w:val="Strong"/>
        </w:rPr>
        <w:t>Janar</w:t>
      </w:r>
      <w:proofErr w:type="spellEnd"/>
      <w:r>
        <w:rPr>
          <w:rStyle w:val="Strong"/>
        </w:rPr>
        <w:t>–Mars 2025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PTK.</w:t>
      </w:r>
    </w:p>
    <w:p w:rsidR="00ED5935" w:rsidRDefault="00ED5935" w:rsidP="00ED5935">
      <w:pPr>
        <w:pStyle w:val="NormalWeb"/>
        <w:numPr>
          <w:ilvl w:val="0"/>
          <w:numId w:val="29"/>
        </w:numPr>
      </w:pPr>
      <w:proofErr w:type="spellStart"/>
      <w:r>
        <w:rPr>
          <w:rStyle w:val="Strong"/>
        </w:rPr>
        <w:t>Komisioni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ankesave</w:t>
      </w:r>
      <w:proofErr w:type="spellEnd"/>
      <w:r>
        <w:rPr>
          <w:rStyle w:val="Strong"/>
        </w:rPr>
        <w:t xml:space="preserve"> administrative</w:t>
      </w:r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rPr>
          <w:rStyle w:val="Strong"/>
        </w:rPr>
        <w:t>Prill</w:t>
      </w:r>
      <w:proofErr w:type="spellEnd"/>
      <w:r>
        <w:rPr>
          <w:rStyle w:val="Strong"/>
        </w:rPr>
        <w:t>–Maj 2025</w:t>
      </w:r>
      <w:r>
        <w:t xml:space="preserve">,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ankesave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shqyrtojë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vendosë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ankesa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obliguesit</w:t>
      </w:r>
      <w:proofErr w:type="spellEnd"/>
      <w:r>
        <w:t xml:space="preserve"> </w:t>
      </w:r>
      <w:proofErr w:type="spellStart"/>
      <w:r>
        <w:t>tatimorë</w:t>
      </w:r>
      <w:proofErr w:type="spellEnd"/>
      <w:r>
        <w:t>.</w:t>
      </w:r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Vendimet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reflektohen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e </w:t>
      </w:r>
      <w:proofErr w:type="spellStart"/>
      <w:r>
        <w:t>Tatimit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 me </w:t>
      </w:r>
      <w:proofErr w:type="spellStart"/>
      <w:r>
        <w:t>kohë</w:t>
      </w:r>
      <w:proofErr w:type="spellEnd"/>
      <w:r>
        <w:t>.</w:t>
      </w:r>
    </w:p>
    <w:p w:rsidR="00ED5935" w:rsidRDefault="00ED5935" w:rsidP="00ED5935">
      <w:pPr>
        <w:pStyle w:val="NormalWeb"/>
        <w:numPr>
          <w:ilvl w:val="0"/>
          <w:numId w:val="29"/>
        </w:numPr>
      </w:pPr>
      <w:proofErr w:type="spellStart"/>
      <w:r>
        <w:rPr>
          <w:rStyle w:val="Strong"/>
        </w:rPr>
        <w:t>Shpërndarja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vërejtjeve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pagesa</w:t>
      </w:r>
      <w:proofErr w:type="spellEnd"/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Përmes</w:t>
      </w:r>
      <w:proofErr w:type="spellEnd"/>
      <w:r>
        <w:t xml:space="preserve"> </w:t>
      </w:r>
      <w:proofErr w:type="spellStart"/>
      <w:r>
        <w:rPr>
          <w:rStyle w:val="Strong"/>
        </w:rPr>
        <w:t>leterkujtesave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rPr>
          <w:rStyle w:val="Strong"/>
        </w:rPr>
        <w:t>Shkurt</w:t>
      </w:r>
      <w:proofErr w:type="spellEnd"/>
      <w:r>
        <w:rPr>
          <w:rStyle w:val="Strong"/>
        </w:rPr>
        <w:t>–</w:t>
      </w:r>
      <w:proofErr w:type="spellStart"/>
      <w:r>
        <w:rPr>
          <w:rStyle w:val="Strong"/>
        </w:rPr>
        <w:t>Korrik</w:t>
      </w:r>
      <w:proofErr w:type="spellEnd"/>
      <w:r>
        <w:rPr>
          <w:rStyle w:val="Strong"/>
        </w:rPr>
        <w:t xml:space="preserve"> 2025</w:t>
      </w:r>
      <w:r>
        <w:t xml:space="preserve">, </w:t>
      </w:r>
      <w:proofErr w:type="spellStart"/>
      <w:r>
        <w:t>obliguesit</w:t>
      </w:r>
      <w:proofErr w:type="spellEnd"/>
      <w:r>
        <w:t xml:space="preserve"> </w:t>
      </w:r>
      <w:proofErr w:type="spellStart"/>
      <w:r>
        <w:t>tatimorë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njoftohen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>.</w:t>
      </w:r>
    </w:p>
    <w:p w:rsidR="00ED5935" w:rsidRDefault="00ED5935" w:rsidP="00ED5935">
      <w:pPr>
        <w:pStyle w:val="NormalWeb"/>
        <w:numPr>
          <w:ilvl w:val="0"/>
          <w:numId w:val="29"/>
        </w:numPr>
      </w:pPr>
      <w:proofErr w:type="spellStart"/>
      <w:r>
        <w:rPr>
          <w:rStyle w:val="Strong"/>
        </w:rPr>
        <w:t>Riregjistrimi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verifikimi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objekteve</w:t>
      </w:r>
      <w:proofErr w:type="spellEnd"/>
    </w:p>
    <w:p w:rsidR="00ED5935" w:rsidRDefault="00ED5935" w:rsidP="00ED5935">
      <w:pPr>
        <w:pStyle w:val="NormalWeb"/>
        <w:numPr>
          <w:ilvl w:val="1"/>
          <w:numId w:val="29"/>
        </w:numPr>
      </w:pPr>
      <w:proofErr w:type="spellStart"/>
      <w:r>
        <w:t>Riregjistrimi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verifikimi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zonave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regjistruesit</w:t>
      </w:r>
      <w:proofErr w:type="spellEnd"/>
      <w:r>
        <w:t xml:space="preserve"> me </w:t>
      </w:r>
      <w:proofErr w:type="spellStart"/>
      <w:r>
        <w:t>kontrata</w:t>
      </w:r>
      <w:proofErr w:type="spellEnd"/>
      <w:r>
        <w:t xml:space="preserve">,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rPr>
          <w:rStyle w:val="Strong"/>
        </w:rPr>
        <w:t>Shkurt</w:t>
      </w:r>
      <w:proofErr w:type="spellEnd"/>
      <w:r>
        <w:rPr>
          <w:rStyle w:val="Strong"/>
        </w:rPr>
        <w:t>–</w:t>
      </w:r>
      <w:proofErr w:type="spellStart"/>
      <w:r>
        <w:rPr>
          <w:rStyle w:val="Strong"/>
        </w:rPr>
        <w:t>Korrik</w:t>
      </w:r>
      <w:proofErr w:type="spellEnd"/>
      <w:r>
        <w:rPr>
          <w:rStyle w:val="Strong"/>
        </w:rPr>
        <w:t xml:space="preserve"> 2025</w:t>
      </w:r>
      <w:r>
        <w:t>.</w:t>
      </w:r>
    </w:p>
    <w:p w:rsidR="008B6B16" w:rsidRDefault="008B6B16" w:rsidP="008B6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4EDA" w:rsidRPr="00811388" w:rsidRDefault="00354EDA" w:rsidP="008B6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2CF" w:rsidRPr="00ED5935" w:rsidRDefault="00ED5935" w:rsidP="00ED5935">
      <w:pPr>
        <w:pStyle w:val="Heading1"/>
        <w:numPr>
          <w:ilvl w:val="0"/>
          <w:numId w:val="29"/>
        </w:numPr>
        <w:rPr>
          <w:b/>
          <w:color w:val="000000" w:themeColor="text1"/>
        </w:rPr>
      </w:pPr>
      <w:bookmarkStart w:id="26" w:name="_Toc111675271"/>
      <w:bookmarkStart w:id="27" w:name="_Toc111675381"/>
      <w:bookmarkStart w:id="28" w:name="_Toc157004516"/>
      <w:bookmarkStart w:id="29" w:name="_Toc218602376"/>
      <w:r w:rsidRPr="00ED5935">
        <w:rPr>
          <w:b/>
          <w:color w:val="000000" w:themeColor="text1"/>
        </w:rPr>
        <w:t xml:space="preserve">Në </w:t>
      </w:r>
      <w:proofErr w:type="spellStart"/>
      <w:r w:rsidRPr="00ED5935">
        <w:rPr>
          <w:b/>
          <w:color w:val="000000" w:themeColor="text1"/>
        </w:rPr>
        <w:t>menyrë</w:t>
      </w:r>
      <w:proofErr w:type="spellEnd"/>
      <w:r w:rsidRPr="00ED5935">
        <w:rPr>
          <w:b/>
          <w:color w:val="000000" w:themeColor="text1"/>
        </w:rPr>
        <w:t xml:space="preserve"> </w:t>
      </w:r>
      <w:proofErr w:type="spellStart"/>
      <w:r w:rsidRPr="00ED5935">
        <w:rPr>
          <w:b/>
          <w:color w:val="000000" w:themeColor="text1"/>
        </w:rPr>
        <w:t>tabelare</w:t>
      </w:r>
      <w:proofErr w:type="spellEnd"/>
      <w:r w:rsidRPr="00ED5935">
        <w:rPr>
          <w:b/>
          <w:color w:val="000000" w:themeColor="text1"/>
        </w:rPr>
        <w:t xml:space="preserve"> bartësit e detyrave dhe afatet kohore</w:t>
      </w:r>
      <w:bookmarkEnd w:id="26"/>
      <w:bookmarkEnd w:id="27"/>
      <w:bookmarkEnd w:id="28"/>
      <w:bookmarkEnd w:id="29"/>
    </w:p>
    <w:p w:rsidR="008D7E3A" w:rsidRDefault="008D7E3A" w:rsidP="0031264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3028" w:type="dxa"/>
        <w:jc w:val="center"/>
        <w:tblLook w:val="04A0" w:firstRow="1" w:lastRow="0" w:firstColumn="1" w:lastColumn="0" w:noHBand="0" w:noVBand="1"/>
      </w:tblPr>
      <w:tblGrid>
        <w:gridCol w:w="556"/>
        <w:gridCol w:w="4041"/>
        <w:gridCol w:w="2658"/>
        <w:gridCol w:w="2339"/>
        <w:gridCol w:w="3434"/>
      </w:tblGrid>
      <w:tr w:rsidR="00380F32" w:rsidRPr="00200335" w:rsidTr="009D71C0">
        <w:trPr>
          <w:trHeight w:val="500"/>
          <w:jc w:val="center"/>
        </w:trPr>
        <w:tc>
          <w:tcPr>
            <w:tcW w:w="535" w:type="dxa"/>
            <w:shd w:val="clear" w:color="auto" w:fill="BDD6EE" w:themeFill="accent1" w:themeFillTint="66"/>
          </w:tcPr>
          <w:p w:rsidR="00950D9C" w:rsidRPr="008D7E3A" w:rsidRDefault="00950D9C" w:rsidP="00B64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049" w:type="dxa"/>
            <w:shd w:val="clear" w:color="auto" w:fill="BDD6EE" w:themeFill="accent1" w:themeFillTint="66"/>
          </w:tcPr>
          <w:p w:rsidR="00950D9C" w:rsidRPr="008D7E3A" w:rsidRDefault="00950D9C" w:rsidP="00E5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</w:p>
        </w:tc>
        <w:tc>
          <w:tcPr>
            <w:tcW w:w="2662" w:type="dxa"/>
            <w:shd w:val="clear" w:color="auto" w:fill="BDD6EE" w:themeFill="accent1" w:themeFillTint="66"/>
          </w:tcPr>
          <w:p w:rsidR="00950D9C" w:rsidRPr="008D7E3A" w:rsidRDefault="008B6B16" w:rsidP="00E5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>Bartësi</w:t>
            </w:r>
            <w:r w:rsidR="00950D9C"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Aktivitetit</w:t>
            </w:r>
          </w:p>
        </w:tc>
        <w:tc>
          <w:tcPr>
            <w:tcW w:w="2342" w:type="dxa"/>
            <w:shd w:val="clear" w:color="auto" w:fill="BDD6EE" w:themeFill="accent1" w:themeFillTint="66"/>
          </w:tcPr>
          <w:p w:rsidR="00950D9C" w:rsidRPr="008D7E3A" w:rsidRDefault="00950D9C" w:rsidP="00E5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>Planifikimi i realizimit</w:t>
            </w:r>
          </w:p>
        </w:tc>
        <w:tc>
          <w:tcPr>
            <w:tcW w:w="3440" w:type="dxa"/>
            <w:shd w:val="clear" w:color="auto" w:fill="BDD6EE" w:themeFill="accent1" w:themeFillTint="66"/>
          </w:tcPr>
          <w:p w:rsidR="00950D9C" w:rsidRPr="008D7E3A" w:rsidRDefault="00950D9C" w:rsidP="00E5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3A">
              <w:rPr>
                <w:rFonts w:ascii="Times New Roman" w:hAnsi="Times New Roman" w:cs="Times New Roman"/>
                <w:b/>
                <w:sz w:val="24"/>
                <w:szCs w:val="24"/>
              </w:rPr>
              <w:t>Komente</w:t>
            </w: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Mbyllja e vitit 2025 dhe fillimi i vitit 2026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buxhetimin</w:t>
            </w:r>
            <w:proofErr w:type="spellEnd"/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programor - sipas Drejtorive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Thesari - zyra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kontabilitet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2026</w:t>
            </w:r>
          </w:p>
        </w:tc>
        <w:tc>
          <w:tcPr>
            <w:tcW w:w="3440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Vazhdon gjate vitit 2026</w:t>
            </w:r>
          </w:p>
        </w:tc>
      </w:tr>
      <w:tr w:rsidR="000B0F9A" w:rsidRPr="00200335" w:rsidTr="009D71C0">
        <w:trPr>
          <w:trHeight w:val="51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</w:tcPr>
          <w:p w:rsidR="00950D9C" w:rsidRPr="00200335" w:rsidRDefault="008B6B1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Pasqyrave vjetore financiare</w:t>
            </w:r>
            <w:r w:rsidR="0095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950D9C">
              <w:rPr>
                <w:rFonts w:ascii="Times New Roman" w:hAnsi="Times New Roman" w:cs="Times New Roman"/>
                <w:sz w:val="24"/>
                <w:szCs w:val="24"/>
              </w:rPr>
              <w:t xml:space="preserve"> vitin paraprak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DBF - Thesari dhe kontabiliteti 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2026</w:t>
            </w:r>
          </w:p>
        </w:tc>
        <w:tc>
          <w:tcPr>
            <w:tcW w:w="3440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30.01.2026 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dita e fundit</w:t>
            </w: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49" w:type="dxa"/>
          </w:tcPr>
          <w:p w:rsidR="00950D9C" w:rsidRPr="00200335" w:rsidRDefault="008B6B1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Raporti vjetor mbi borxh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et e mb</w:t>
            </w:r>
            <w:r w:rsidR="00B64526">
              <w:rPr>
                <w:rFonts w:ascii="Times New Roman" w:hAnsi="Times New Roman" w:cs="Times New Roman"/>
                <w:sz w:val="24"/>
                <w:szCs w:val="24"/>
              </w:rPr>
              <w:t>etura te komunës për vitin 2025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e financa dhe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zyrtarët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arsimit dhe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shëndetësisë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</w:t>
            </w:r>
            <w:r w:rsidR="00B64526">
              <w:rPr>
                <w:rFonts w:ascii="Times New Roman" w:hAnsi="Times New Roman" w:cs="Times New Roman"/>
                <w:sz w:val="24"/>
                <w:szCs w:val="24"/>
              </w:rPr>
              <w:t>r 2026</w:t>
            </w:r>
          </w:p>
        </w:tc>
        <w:tc>
          <w:tcPr>
            <w:tcW w:w="3440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  <w:r w:rsidR="0095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dita e fundit</w:t>
            </w:r>
          </w:p>
        </w:tc>
      </w:tr>
      <w:tr w:rsidR="000B0F9A" w:rsidRPr="00200335" w:rsidTr="009D71C0">
        <w:trPr>
          <w:trHeight w:val="101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Alokimet</w:t>
            </w:r>
            <w:proofErr w:type="spellEnd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tre-mujorit të parë, dyte, trete dhe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katërt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ndarja e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brendshme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në mes të programeve komunale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e financa dhe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zyrtarët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arsimit dhe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shëndetësisë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950D9C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– Mars 2026</w:t>
            </w:r>
          </w:p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Prill </w:t>
            </w:r>
            <w:r w:rsidR="00B64526">
              <w:rPr>
                <w:rFonts w:ascii="Times New Roman" w:hAnsi="Times New Roman" w:cs="Times New Roman"/>
                <w:sz w:val="24"/>
                <w:szCs w:val="24"/>
              </w:rPr>
              <w:t>–Qershor 2026</w:t>
            </w:r>
          </w:p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Korrik-</w:t>
            </w:r>
            <w:r w:rsidR="00B64526">
              <w:rPr>
                <w:rFonts w:ascii="Times New Roman" w:hAnsi="Times New Roman" w:cs="Times New Roman"/>
                <w:sz w:val="24"/>
                <w:szCs w:val="24"/>
              </w:rPr>
              <w:t>Shtator 2026</w:t>
            </w:r>
          </w:p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Tetor </w:t>
            </w:r>
            <w:r w:rsidR="00B64526">
              <w:rPr>
                <w:rFonts w:ascii="Times New Roman" w:hAnsi="Times New Roman" w:cs="Times New Roman"/>
                <w:sz w:val="24"/>
                <w:szCs w:val="24"/>
              </w:rPr>
              <w:t>– Dhjetor 2026</w:t>
            </w:r>
          </w:p>
        </w:tc>
        <w:tc>
          <w:tcPr>
            <w:tcW w:w="3440" w:type="dxa"/>
          </w:tcPr>
          <w:p w:rsidR="00950D9C" w:rsidRPr="00200335" w:rsidRDefault="008B6B1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Vazhdim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secilin tremujor MF - </w:t>
            </w:r>
            <w:proofErr w:type="spellStart"/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Thesari Qendror </w:t>
            </w:r>
          </w:p>
        </w:tc>
      </w:tr>
      <w:tr w:rsidR="000B0F9A" w:rsidRPr="00200335" w:rsidTr="009D71C0">
        <w:trPr>
          <w:trHeight w:val="500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Raporti Financiar Janar – Dhjetor te vitin paraprak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financa 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2026</w:t>
            </w:r>
          </w:p>
        </w:tc>
        <w:tc>
          <w:tcPr>
            <w:tcW w:w="3440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KPF dhe Asamble</w:t>
            </w:r>
          </w:p>
        </w:tc>
      </w:tr>
      <w:tr w:rsidR="000B0F9A" w:rsidRPr="00200335" w:rsidTr="009D71C0">
        <w:trPr>
          <w:trHeight w:val="500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Shtypjen dhe shpërndarja e faturave tatimore mbi tatimin në pronë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DBF-STP Posta e Kosoves 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 - Mars 2026</w:t>
            </w:r>
          </w:p>
        </w:tc>
        <w:tc>
          <w:tcPr>
            <w:tcW w:w="3440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Dita e fundit e </w:t>
            </w:r>
            <w:r w:rsidR="008B6B16">
              <w:rPr>
                <w:rFonts w:ascii="Times New Roman" w:hAnsi="Times New Roman" w:cs="Times New Roman"/>
                <w:sz w:val="24"/>
                <w:szCs w:val="24"/>
              </w:rPr>
              <w:t>shpërndarjes</w:t>
            </w:r>
          </w:p>
        </w:tc>
      </w:tr>
      <w:tr w:rsidR="000B0F9A" w:rsidRPr="00200335" w:rsidTr="009D71C0">
        <w:trPr>
          <w:trHeight w:val="1028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Raportet financiare tremujore</w:t>
            </w:r>
          </w:p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TM1, TM2, TM3 dhe TM4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Sektori i Buxhetit dhe Financave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TM1-Prill 2026</w:t>
            </w:r>
          </w:p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TM2 -Korrik 2026</w:t>
            </w:r>
          </w:p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TM3- Tetor 2026</w:t>
            </w:r>
          </w:p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TM4  Janar 2027</w:t>
            </w:r>
          </w:p>
        </w:tc>
        <w:tc>
          <w:tcPr>
            <w:tcW w:w="3440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KPF dhe Asamble</w:t>
            </w:r>
          </w:p>
        </w:tc>
      </w:tr>
      <w:tr w:rsidR="000B0F9A" w:rsidRPr="00200335" w:rsidTr="009D71C0">
        <w:trPr>
          <w:trHeight w:val="101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49" w:type="dxa"/>
          </w:tcPr>
          <w:p w:rsidR="00950D9C" w:rsidRPr="00200335" w:rsidRDefault="00950D9C" w:rsidP="000B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Transferi</w:t>
            </w:r>
            <w:proofErr w:type="spellEnd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i mjeteve të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grumbulluara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nga të hyrat </w:t>
            </w:r>
            <w:proofErr w:type="spellStart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vetanka</w:t>
            </w:r>
            <w:proofErr w:type="spellEnd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mujo</w:t>
            </w:r>
            <w:r w:rsidR="000B0F9A">
              <w:rPr>
                <w:rFonts w:ascii="Times New Roman" w:hAnsi="Times New Roman" w:cs="Times New Roman"/>
                <w:sz w:val="24"/>
                <w:szCs w:val="24"/>
              </w:rPr>
              <w:t xml:space="preserve">re, nga llogarit bankare në Buxhetit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të Kosovë dhe </w:t>
            </w:r>
            <w:proofErr w:type="spellStart"/>
            <w:r w:rsidR="000B0F9A">
              <w:rPr>
                <w:rFonts w:ascii="Times New Roman" w:hAnsi="Times New Roman" w:cs="Times New Roman"/>
                <w:sz w:val="24"/>
                <w:szCs w:val="24"/>
              </w:rPr>
              <w:t>aloki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i tyre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financa Zyra e te hyrave </w:t>
            </w:r>
          </w:p>
        </w:tc>
        <w:tc>
          <w:tcPr>
            <w:tcW w:w="234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- Dhjetor</w:t>
            </w:r>
            <w:r w:rsidR="00380F3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440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Vazhdon </w:t>
            </w:r>
            <w:r w:rsidR="008B6B16" w:rsidRPr="002003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8B6B16">
              <w:rPr>
                <w:rFonts w:ascii="Times New Roman" w:hAnsi="Times New Roman" w:cs="Times New Roman"/>
                <w:sz w:val="24"/>
                <w:szCs w:val="24"/>
              </w:rPr>
              <w:t xml:space="preserve"> secilin muaj veç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ve</w:t>
            </w:r>
            <w:r w:rsidR="008B6B16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Rishikimi Buxhetor – 2023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, duke u bazuar në kërkesat e secilit Program buxhetor dhe kategori ekonomike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financa</w:t>
            </w:r>
          </w:p>
        </w:tc>
        <w:tc>
          <w:tcPr>
            <w:tcW w:w="2342" w:type="dxa"/>
          </w:tcPr>
          <w:p w:rsidR="00950D9C" w:rsidRPr="00200335" w:rsidRDefault="00380F32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Qershor 2026</w:t>
            </w:r>
          </w:p>
        </w:tc>
        <w:tc>
          <w:tcPr>
            <w:tcW w:w="3440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MF -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Udhëzimi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administrativ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rishikim buxheti </w:t>
            </w: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0B0F9A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49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KAB – 2027-2029</w:t>
            </w:r>
          </w:p>
        </w:tc>
        <w:tc>
          <w:tcPr>
            <w:tcW w:w="2662" w:type="dxa"/>
          </w:tcPr>
          <w:p w:rsidR="000B0F9A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Sektori buxhet dhe financa ne koordinim me te gjitha drejtoritë</w:t>
            </w:r>
          </w:p>
        </w:tc>
        <w:tc>
          <w:tcPr>
            <w:tcW w:w="2342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Qershor 2026</w:t>
            </w:r>
          </w:p>
        </w:tc>
        <w:tc>
          <w:tcPr>
            <w:tcW w:w="3440" w:type="dxa"/>
          </w:tcPr>
          <w:p w:rsidR="000B0F9A" w:rsidRPr="00200335" w:rsidRDefault="000B0F9A" w:rsidP="000B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Aprovimi nga KP, kuvendi komunal</w:t>
            </w:r>
          </w:p>
        </w:tc>
      </w:tr>
      <w:tr w:rsidR="000B0F9A" w:rsidRPr="00200335" w:rsidTr="009D71C0">
        <w:trPr>
          <w:trHeight w:val="1014"/>
          <w:jc w:val="center"/>
        </w:trPr>
        <w:tc>
          <w:tcPr>
            <w:tcW w:w="535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49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Organizimi i Dëgjimeve  Buxhetore </w:t>
            </w:r>
          </w:p>
        </w:tc>
        <w:tc>
          <w:tcPr>
            <w:tcW w:w="2662" w:type="dxa"/>
          </w:tcPr>
          <w:p w:rsidR="000B0F9A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financa ne koordinim 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Asamblenë dhe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te gjitha drejtoritë</w:t>
            </w:r>
          </w:p>
        </w:tc>
        <w:tc>
          <w:tcPr>
            <w:tcW w:w="2342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Korrik, Gusht 2026</w:t>
            </w:r>
          </w:p>
        </w:tc>
        <w:tc>
          <w:tcPr>
            <w:tcW w:w="3440" w:type="dxa"/>
          </w:tcPr>
          <w:p w:rsidR="000B0F9A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950D9C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950D9C" w:rsidRPr="00200335" w:rsidRDefault="000B0F9A" w:rsidP="000B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Bux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hetit </w:t>
            </w:r>
            <w:r w:rsidR="00380F32">
              <w:rPr>
                <w:rFonts w:ascii="Times New Roman" w:hAnsi="Times New Roman" w:cs="Times New Roman"/>
                <w:sz w:val="24"/>
                <w:szCs w:val="24"/>
              </w:rPr>
              <w:t>për vitin 2027- 2029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Për çdo program buxhetor , pas Dëgjimeve buxhetore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financa ne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koordinim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me te gjitha </w:t>
            </w:r>
            <w:r w:rsidR="000B0F9A" w:rsidRPr="00200335">
              <w:rPr>
                <w:rFonts w:ascii="Times New Roman" w:hAnsi="Times New Roman" w:cs="Times New Roman"/>
                <w:sz w:val="24"/>
                <w:szCs w:val="24"/>
              </w:rPr>
              <w:t>drejtoritë</w:t>
            </w:r>
          </w:p>
        </w:tc>
        <w:tc>
          <w:tcPr>
            <w:tcW w:w="2342" w:type="dxa"/>
          </w:tcPr>
          <w:p w:rsidR="00950D9C" w:rsidRPr="00200335" w:rsidRDefault="00380F32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- Shtator 2026</w:t>
            </w:r>
          </w:p>
        </w:tc>
        <w:tc>
          <w:tcPr>
            <w:tcW w:w="3440" w:type="dxa"/>
          </w:tcPr>
          <w:p w:rsidR="00950D9C" w:rsidRPr="00200335" w:rsidRDefault="000B0F9A" w:rsidP="000B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Aprovimi nga KPF dhe kuvendi komunal</w:t>
            </w:r>
          </w:p>
        </w:tc>
      </w:tr>
      <w:tr w:rsidR="000B0F9A" w:rsidRPr="00200335" w:rsidTr="009D71C0">
        <w:trPr>
          <w:trHeight w:val="764"/>
          <w:jc w:val="center"/>
        </w:trPr>
        <w:tc>
          <w:tcPr>
            <w:tcW w:w="535" w:type="dxa"/>
          </w:tcPr>
          <w:p w:rsidR="00950D9C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Barazimet e te hyrave dhe shpenzimeve me </w:t>
            </w:r>
            <w:proofErr w:type="spellStart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evidencen</w:t>
            </w:r>
            <w:proofErr w:type="spellEnd"/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e FRE-Balance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Sektori buxhet dhe financa </w:t>
            </w:r>
          </w:p>
        </w:tc>
        <w:tc>
          <w:tcPr>
            <w:tcW w:w="234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 Dhj</w:t>
            </w:r>
            <w:r w:rsidR="00380F32">
              <w:rPr>
                <w:rFonts w:ascii="Times New Roman" w:hAnsi="Times New Roman" w:cs="Times New Roman"/>
                <w:sz w:val="24"/>
                <w:szCs w:val="24"/>
              </w:rPr>
              <w:t>etor 2026</w:t>
            </w:r>
          </w:p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ZKF / ZKA</w:t>
            </w:r>
          </w:p>
        </w:tc>
      </w:tr>
      <w:tr w:rsidR="000B0F9A" w:rsidRPr="00200335" w:rsidTr="009D71C0">
        <w:trPr>
          <w:trHeight w:val="750"/>
          <w:jc w:val="center"/>
        </w:trPr>
        <w:tc>
          <w:tcPr>
            <w:tcW w:w="535" w:type="dxa"/>
          </w:tcPr>
          <w:p w:rsidR="00950D9C" w:rsidRPr="00200335" w:rsidRDefault="000B0F9A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950D9C" w:rsidRPr="00200335" w:rsidRDefault="008B6B1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Regjistrimi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i te gjitha pronave ne territorin e komunës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qellim te tatimit ne prone </w:t>
            </w:r>
          </w:p>
        </w:tc>
        <w:tc>
          <w:tcPr>
            <w:tcW w:w="2662" w:type="dxa"/>
          </w:tcPr>
          <w:p w:rsidR="00950D9C" w:rsidRPr="00200335" w:rsidRDefault="00950D9C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Sektori i tatimit ne prone</w:t>
            </w:r>
          </w:p>
        </w:tc>
        <w:tc>
          <w:tcPr>
            <w:tcW w:w="2342" w:type="dxa"/>
          </w:tcPr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 2026</w:t>
            </w:r>
          </w:p>
          <w:p w:rsidR="00950D9C" w:rsidRPr="00200335" w:rsidRDefault="00B6452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 2026</w:t>
            </w:r>
          </w:p>
        </w:tc>
        <w:tc>
          <w:tcPr>
            <w:tcW w:w="3440" w:type="dxa"/>
          </w:tcPr>
          <w:p w:rsidR="00950D9C" w:rsidRPr="00200335" w:rsidRDefault="008B6B16" w:rsidP="00E5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Azhurnimi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200335">
              <w:rPr>
                <w:rFonts w:ascii="Times New Roman" w:hAnsi="Times New Roman" w:cs="Times New Roman"/>
                <w:sz w:val="24"/>
                <w:szCs w:val="24"/>
              </w:rPr>
              <w:t>data bazës</w:t>
            </w:r>
            <w:r w:rsidR="00950D9C" w:rsidRPr="002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50D9C" w:rsidRDefault="00950D9C" w:rsidP="0031264F">
      <w:pPr>
        <w:spacing w:line="240" w:lineRule="auto"/>
        <w:rPr>
          <w:rFonts w:ascii="Times New Roman" w:hAnsi="Times New Roman" w:cs="Times New Roman"/>
        </w:rPr>
      </w:pPr>
    </w:p>
    <w:p w:rsidR="00ED5935" w:rsidRPr="00ED5935" w:rsidRDefault="00ED5935" w:rsidP="00ED5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Drejtoria për Buxhet dhe Financa është gjithmonë në gatishmëri për të kontribuar në:</w:t>
      </w:r>
    </w:p>
    <w:p w:rsidR="00ED5935" w:rsidRPr="00ED5935" w:rsidRDefault="00ED5935" w:rsidP="00ED59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b/>
          <w:bCs/>
          <w:sz w:val="24"/>
          <w:szCs w:val="24"/>
        </w:rPr>
        <w:t>Mbarëvajtjen financiare të komunës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Menaxhimi i efikas i të hyrave dhe shpenzimeve komunale.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Monitorimi i realizimit të projekteve buxhetore dhe programeve komunale.</w:t>
      </w:r>
    </w:p>
    <w:p w:rsidR="00ED5935" w:rsidRPr="00ED5935" w:rsidRDefault="00ED5935" w:rsidP="00ED59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b/>
          <w:bCs/>
          <w:sz w:val="24"/>
          <w:szCs w:val="24"/>
        </w:rPr>
        <w:t>Stabilitetin financiar të komunës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Sigurimi i përdorimit të qëndrueshëm dhe të planifikuar të mjeteve publike.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Mbikëqyrja e barazimeve dhe raportimeve periodike me Ministrinë e Financave dhe Thesarin.</w:t>
      </w:r>
    </w:p>
    <w:p w:rsidR="00ED5935" w:rsidRPr="00ED5935" w:rsidRDefault="00ED5935" w:rsidP="00ED59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Rolin </w:t>
      </w:r>
      <w:proofErr w:type="spellStart"/>
      <w:r w:rsidRPr="00ED5935">
        <w:rPr>
          <w:rFonts w:ascii="Times New Roman" w:eastAsia="Times New Roman" w:hAnsi="Times New Roman" w:cs="Times New Roman"/>
          <w:b/>
          <w:bCs/>
          <w:sz w:val="24"/>
          <w:szCs w:val="24"/>
        </w:rPr>
        <w:t>këshilldhënës</w:t>
      </w:r>
      <w:proofErr w:type="spellEnd"/>
      <w:r w:rsidRPr="00ED5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në aspektin buxhetor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Ofrimi i këshillave dhe analizave për vendimmarrje të bazuara në të dhëna financiare.</w:t>
      </w:r>
    </w:p>
    <w:p w:rsidR="00ED5935" w:rsidRPr="00ED5935" w:rsidRDefault="00ED5935" w:rsidP="00ED593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935">
        <w:rPr>
          <w:rFonts w:ascii="Times New Roman" w:eastAsia="Times New Roman" w:hAnsi="Times New Roman" w:cs="Times New Roman"/>
          <w:sz w:val="24"/>
          <w:szCs w:val="24"/>
        </w:rPr>
        <w:t>Mbështetje për zhvillimin e planifikimeve afatmesme dhe projeksioneve financiare të komunës.</w:t>
      </w:r>
    </w:p>
    <w:p w:rsidR="00200335" w:rsidRPr="00811388" w:rsidRDefault="00200335" w:rsidP="003126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7E3A" w:rsidRPr="00811388" w:rsidRDefault="00200335" w:rsidP="006900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3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sectPr w:rsidR="008D7E3A" w:rsidRPr="00811388" w:rsidSect="008B6B16">
      <w:footerReference w:type="default" r:id="rId9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59" w:rsidRDefault="004D0F59" w:rsidP="00200335">
      <w:pPr>
        <w:spacing w:after="0" w:line="240" w:lineRule="auto"/>
      </w:pPr>
      <w:r>
        <w:separator/>
      </w:r>
    </w:p>
  </w:endnote>
  <w:endnote w:type="continuationSeparator" w:id="0">
    <w:p w:rsidR="004D0F59" w:rsidRDefault="004D0F59" w:rsidP="002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EB" w:rsidRPr="00200335" w:rsidRDefault="005D47EB" w:rsidP="0020033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</w:rPr>
    </w:pPr>
    <w:r w:rsidRPr="00200335">
      <w:rPr>
        <w:rFonts w:ascii="Times New Roman" w:eastAsia="MS Mincho" w:hAnsi="Times New Roman" w:cs="Times New Roman"/>
        <w:sz w:val="20"/>
        <w:szCs w:val="20"/>
      </w:rPr>
      <w:t xml:space="preserve">Adresa </w:t>
    </w:r>
    <w:proofErr w:type="spellStart"/>
    <w:r w:rsidRPr="00200335">
      <w:rPr>
        <w:rFonts w:ascii="Times New Roman" w:eastAsia="MS Mincho" w:hAnsi="Times New Roman" w:cs="Times New Roman"/>
        <w:sz w:val="20"/>
        <w:szCs w:val="20"/>
      </w:rPr>
      <w:t>Rr.Jashar</w:t>
    </w:r>
    <w:proofErr w:type="spellEnd"/>
    <w:r w:rsidRPr="00200335">
      <w:rPr>
        <w:rFonts w:ascii="Times New Roman" w:eastAsia="MS Mincho" w:hAnsi="Times New Roman" w:cs="Times New Roman"/>
        <w:sz w:val="20"/>
        <w:szCs w:val="20"/>
      </w:rPr>
      <w:t xml:space="preserve"> Salihu Nr.03 51000 Deçan –Kosove</w:t>
    </w:r>
  </w:p>
  <w:p w:rsidR="005D47EB" w:rsidRPr="00200335" w:rsidRDefault="005D47EB" w:rsidP="0020033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</w:rPr>
    </w:pPr>
    <w:hyperlink r:id="rId1" w:history="1">
      <w:r w:rsidRPr="00200335">
        <w:rPr>
          <w:rFonts w:ascii="Times New Roman" w:eastAsia="MS Mincho" w:hAnsi="Times New Roman" w:cs="Times New Roman"/>
          <w:color w:val="0000FF"/>
          <w:sz w:val="20"/>
          <w:szCs w:val="20"/>
          <w:u w:val="single"/>
        </w:rPr>
        <w:t>https://kk.rks-gov.net/decan/</w:t>
      </w:r>
    </w:hyperlink>
    <w:r w:rsidRPr="00200335">
      <w:rPr>
        <w:rFonts w:ascii="Times New Roman" w:eastAsia="MS Mincho" w:hAnsi="Times New Roman" w:cs="Times New Roman"/>
        <w:sz w:val="20"/>
        <w:szCs w:val="20"/>
      </w:rPr>
      <w:t xml:space="preserve"> </w:t>
    </w:r>
  </w:p>
  <w:p w:rsidR="005D47EB" w:rsidRDefault="005D47EB" w:rsidP="0020033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5D47EB" w:rsidRDefault="005D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59" w:rsidRDefault="004D0F59" w:rsidP="00200335">
      <w:pPr>
        <w:spacing w:after="0" w:line="240" w:lineRule="auto"/>
      </w:pPr>
      <w:r>
        <w:separator/>
      </w:r>
    </w:p>
  </w:footnote>
  <w:footnote w:type="continuationSeparator" w:id="0">
    <w:p w:rsidR="004D0F59" w:rsidRDefault="004D0F59" w:rsidP="0020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2F6"/>
    <w:multiLevelType w:val="hybridMultilevel"/>
    <w:tmpl w:val="41D6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42D9"/>
    <w:multiLevelType w:val="hybridMultilevel"/>
    <w:tmpl w:val="72129280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F54303"/>
    <w:multiLevelType w:val="multilevel"/>
    <w:tmpl w:val="113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0067F"/>
    <w:multiLevelType w:val="multilevel"/>
    <w:tmpl w:val="BC4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E1E36"/>
    <w:multiLevelType w:val="multilevel"/>
    <w:tmpl w:val="7D768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3827E1"/>
    <w:multiLevelType w:val="multilevel"/>
    <w:tmpl w:val="1CB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515AB"/>
    <w:multiLevelType w:val="hybridMultilevel"/>
    <w:tmpl w:val="065408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52053"/>
    <w:multiLevelType w:val="multilevel"/>
    <w:tmpl w:val="E60CF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AD5122"/>
    <w:multiLevelType w:val="multilevel"/>
    <w:tmpl w:val="8B6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8634F"/>
    <w:multiLevelType w:val="hybridMultilevel"/>
    <w:tmpl w:val="2C1EC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50574"/>
    <w:multiLevelType w:val="multilevel"/>
    <w:tmpl w:val="A0E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A6DF3"/>
    <w:multiLevelType w:val="hybridMultilevel"/>
    <w:tmpl w:val="9034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3250E"/>
    <w:multiLevelType w:val="multilevel"/>
    <w:tmpl w:val="9A3C607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53161"/>
    <w:multiLevelType w:val="multilevel"/>
    <w:tmpl w:val="1A4E99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1523A"/>
    <w:multiLevelType w:val="hybridMultilevel"/>
    <w:tmpl w:val="A840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340F2"/>
    <w:multiLevelType w:val="multilevel"/>
    <w:tmpl w:val="752A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F77DF"/>
    <w:multiLevelType w:val="multilevel"/>
    <w:tmpl w:val="07EC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F282D"/>
    <w:multiLevelType w:val="multilevel"/>
    <w:tmpl w:val="0248C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6C7C97"/>
    <w:multiLevelType w:val="hybridMultilevel"/>
    <w:tmpl w:val="A5DEE98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D054E"/>
    <w:multiLevelType w:val="multilevel"/>
    <w:tmpl w:val="58E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354B7"/>
    <w:multiLevelType w:val="hybridMultilevel"/>
    <w:tmpl w:val="721C17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235C7"/>
    <w:multiLevelType w:val="multilevel"/>
    <w:tmpl w:val="AFA0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461C2"/>
    <w:multiLevelType w:val="hybridMultilevel"/>
    <w:tmpl w:val="5B66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7872"/>
    <w:multiLevelType w:val="multilevel"/>
    <w:tmpl w:val="147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15888"/>
    <w:multiLevelType w:val="multilevel"/>
    <w:tmpl w:val="220E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0560D9"/>
    <w:multiLevelType w:val="multilevel"/>
    <w:tmpl w:val="806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C6C19"/>
    <w:multiLevelType w:val="multilevel"/>
    <w:tmpl w:val="F7760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20CB2"/>
    <w:multiLevelType w:val="multilevel"/>
    <w:tmpl w:val="657E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D62890"/>
    <w:multiLevelType w:val="hybridMultilevel"/>
    <w:tmpl w:val="9266E7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0368B"/>
    <w:multiLevelType w:val="hybridMultilevel"/>
    <w:tmpl w:val="42E6C3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6"/>
  </w:num>
  <w:num w:numId="4">
    <w:abstractNumId w:val="20"/>
  </w:num>
  <w:num w:numId="5">
    <w:abstractNumId w:val="2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3"/>
  </w:num>
  <w:num w:numId="15">
    <w:abstractNumId w:val="2"/>
  </w:num>
  <w:num w:numId="16">
    <w:abstractNumId w:val="19"/>
  </w:num>
  <w:num w:numId="17">
    <w:abstractNumId w:val="4"/>
  </w:num>
  <w:num w:numId="18">
    <w:abstractNumId w:val="14"/>
  </w:num>
  <w:num w:numId="19">
    <w:abstractNumId w:val="12"/>
  </w:num>
  <w:num w:numId="20">
    <w:abstractNumId w:val="13"/>
  </w:num>
  <w:num w:numId="21">
    <w:abstractNumId w:val="11"/>
  </w:num>
  <w:num w:numId="22">
    <w:abstractNumId w:val="22"/>
  </w:num>
  <w:num w:numId="23">
    <w:abstractNumId w:val="21"/>
  </w:num>
  <w:num w:numId="24">
    <w:abstractNumId w:val="24"/>
  </w:num>
  <w:num w:numId="25">
    <w:abstractNumId w:val="3"/>
  </w:num>
  <w:num w:numId="26">
    <w:abstractNumId w:val="5"/>
  </w:num>
  <w:num w:numId="27">
    <w:abstractNumId w:val="25"/>
  </w:num>
  <w:num w:numId="28">
    <w:abstractNumId w:val="16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3D"/>
    <w:rsid w:val="00092904"/>
    <w:rsid w:val="000B0F9A"/>
    <w:rsid w:val="000D4315"/>
    <w:rsid w:val="00102810"/>
    <w:rsid w:val="00141553"/>
    <w:rsid w:val="001A794F"/>
    <w:rsid w:val="00200335"/>
    <w:rsid w:val="002516D1"/>
    <w:rsid w:val="00263F43"/>
    <w:rsid w:val="002853DA"/>
    <w:rsid w:val="0031264F"/>
    <w:rsid w:val="00354EDA"/>
    <w:rsid w:val="0037723D"/>
    <w:rsid w:val="00380F32"/>
    <w:rsid w:val="003B4717"/>
    <w:rsid w:val="003E5956"/>
    <w:rsid w:val="004C5E19"/>
    <w:rsid w:val="004D0F59"/>
    <w:rsid w:val="00532719"/>
    <w:rsid w:val="005D47EB"/>
    <w:rsid w:val="006277F1"/>
    <w:rsid w:val="00686E12"/>
    <w:rsid w:val="00690092"/>
    <w:rsid w:val="00704F11"/>
    <w:rsid w:val="00811388"/>
    <w:rsid w:val="008132CF"/>
    <w:rsid w:val="00847B5F"/>
    <w:rsid w:val="008B6B16"/>
    <w:rsid w:val="008D7E3A"/>
    <w:rsid w:val="008E598E"/>
    <w:rsid w:val="00950D9C"/>
    <w:rsid w:val="00952052"/>
    <w:rsid w:val="009D71C0"/>
    <w:rsid w:val="00A619F7"/>
    <w:rsid w:val="00A7588C"/>
    <w:rsid w:val="00AC54D2"/>
    <w:rsid w:val="00B64526"/>
    <w:rsid w:val="00B74D29"/>
    <w:rsid w:val="00BA2A7D"/>
    <w:rsid w:val="00BB0607"/>
    <w:rsid w:val="00C35697"/>
    <w:rsid w:val="00C56149"/>
    <w:rsid w:val="00C80E2C"/>
    <w:rsid w:val="00CC54B9"/>
    <w:rsid w:val="00D52260"/>
    <w:rsid w:val="00D93994"/>
    <w:rsid w:val="00E0250D"/>
    <w:rsid w:val="00E419AD"/>
    <w:rsid w:val="00E51E42"/>
    <w:rsid w:val="00E61B33"/>
    <w:rsid w:val="00ED5935"/>
    <w:rsid w:val="00F1461E"/>
    <w:rsid w:val="00F82701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28B8"/>
  <w15:chartTrackingRefBased/>
  <w15:docId w15:val="{764642D2-5B59-4E24-A4C8-72B12771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E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3D"/>
    <w:pPr>
      <w:ind w:left="720"/>
      <w:contextualSpacing/>
    </w:pPr>
  </w:style>
  <w:style w:type="table" w:styleId="TableGrid">
    <w:name w:val="Table Grid"/>
    <w:basedOn w:val="TableNormal"/>
    <w:uiPriority w:val="39"/>
    <w:rsid w:val="00F1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00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3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0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35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8D7E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D7E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8D7E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styleId="TOC1">
    <w:name w:val="toc 1"/>
    <w:basedOn w:val="Normal"/>
    <w:next w:val="Normal"/>
    <w:autoRedefine/>
    <w:uiPriority w:val="39"/>
    <w:unhideWhenUsed/>
    <w:rsid w:val="008D7E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7E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7E3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D7E3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8D7E3A"/>
    <w:pPr>
      <w:spacing w:after="0"/>
      <w:ind w:left="440" w:hanging="440"/>
    </w:pPr>
    <w:rPr>
      <w:rFonts w:cstheme="minorHAnsi"/>
      <w: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E5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51E42"/>
    <w:rPr>
      <w:b/>
      <w:bCs/>
    </w:rPr>
  </w:style>
  <w:style w:type="paragraph" w:customStyle="1" w:styleId="mb-3">
    <w:name w:val="mb-3"/>
    <w:basedOn w:val="Normal"/>
    <w:rsid w:val="00E5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-body-small">
    <w:name w:val="text-body-small"/>
    <w:basedOn w:val="DefaultParagraphFont"/>
    <w:rsid w:val="00E51E4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1E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1E4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1E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1E4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5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5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5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6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2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1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3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8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69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45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81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93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20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0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10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31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57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k.rks-gov.net/dec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1E5F-1C83-471D-8000-CF8A579D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Dafina Cacaj</cp:lastModifiedBy>
  <cp:revision>4</cp:revision>
  <dcterms:created xsi:type="dcterms:W3CDTF">2026-01-05T09:56:00Z</dcterms:created>
  <dcterms:modified xsi:type="dcterms:W3CDTF">2026-01-06T13:32:00Z</dcterms:modified>
</cp:coreProperties>
</file>