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335" w:rsidRDefault="00200335" w:rsidP="0037723D">
      <w:pPr>
        <w:spacing w:line="360" w:lineRule="auto"/>
        <w:rPr>
          <w:rFonts w:ascii="Times New Roman" w:hAnsi="Times New Roman" w:cs="Times New Roman"/>
          <w:sz w:val="24"/>
          <w:szCs w:val="24"/>
        </w:rPr>
      </w:pPr>
      <w:bookmarkStart w:id="0" w:name="_GoBack"/>
      <w:bookmarkEnd w:id="0"/>
    </w:p>
    <w:p w:rsidR="00200335" w:rsidRPr="00200335" w:rsidRDefault="00200335" w:rsidP="00200335">
      <w:pPr>
        <w:shd w:val="clear" w:color="auto" w:fill="FFFFFF"/>
        <w:spacing w:after="0" w:line="240" w:lineRule="auto"/>
        <w:jc w:val="right"/>
        <w:rPr>
          <w:rFonts w:ascii="Palatino Linotype" w:eastAsia="Times New Roman" w:hAnsi="Palatino Linotype" w:cs="Arial"/>
          <w:b/>
          <w:color w:val="808080"/>
          <w:w w:val="150"/>
          <w:sz w:val="10"/>
          <w:szCs w:val="10"/>
        </w:rPr>
      </w:pPr>
      <w:r w:rsidRPr="00200335">
        <w:rPr>
          <w:rFonts w:ascii="Palatino Linotype" w:eastAsia="Times New Roman" w:hAnsi="Palatino Linotype" w:cs="Arial"/>
          <w:b/>
          <w:color w:val="808080"/>
          <w:w w:val="150"/>
          <w:sz w:val="16"/>
          <w:szCs w:val="16"/>
        </w:rPr>
        <w:tab/>
      </w:r>
      <w:r w:rsidRPr="00200335">
        <w:rPr>
          <w:rFonts w:ascii="Palatino Linotype" w:eastAsia="Times New Roman" w:hAnsi="Palatino Linotype" w:cs="Arial"/>
          <w:b/>
          <w:color w:val="808080"/>
          <w:w w:val="150"/>
          <w:sz w:val="16"/>
          <w:szCs w:val="16"/>
        </w:rPr>
        <w:tab/>
      </w:r>
      <w:r w:rsidRPr="00200335">
        <w:rPr>
          <w:rFonts w:ascii="Palatino Linotype" w:eastAsia="Times New Roman" w:hAnsi="Palatino Linotype" w:cs="Arial"/>
          <w:b/>
          <w:color w:val="808080"/>
          <w:w w:val="150"/>
          <w:sz w:val="16"/>
          <w:szCs w:val="16"/>
        </w:rPr>
        <w:tab/>
      </w:r>
    </w:p>
    <w:p w:rsidR="00200335" w:rsidRPr="00200335" w:rsidRDefault="00200335" w:rsidP="00200335">
      <w:pPr>
        <w:spacing w:after="0" w:line="240" w:lineRule="auto"/>
        <w:rPr>
          <w:rFonts w:ascii="Book Antiqua" w:eastAsia="Times New Roman" w:hAnsi="Book Antiqua" w:cs="Arial"/>
          <w:sz w:val="16"/>
          <w:szCs w:val="16"/>
        </w:rPr>
      </w:pPr>
    </w:p>
    <w:p w:rsidR="00200335" w:rsidRPr="00200335" w:rsidRDefault="00200335" w:rsidP="00200335">
      <w:pPr>
        <w:spacing w:after="0" w:line="192" w:lineRule="auto"/>
        <w:jc w:val="center"/>
        <w:rPr>
          <w:rFonts w:ascii="Felix Titling" w:eastAsia="Arial Unicode MS" w:hAnsi="Felix Titling" w:cs="Arial Unicode MS"/>
          <w:b/>
          <w:w w:val="120"/>
          <w:sz w:val="16"/>
          <w:szCs w:val="16"/>
        </w:rPr>
      </w:pPr>
      <w:r w:rsidRPr="00200335">
        <w:rPr>
          <w:rFonts w:ascii="Felix Titling" w:eastAsia="Arial Unicode MS" w:hAnsi="Felix Titling" w:cs="Arial Unicode MS"/>
          <w:b/>
          <w:noProof/>
          <w:w w:val="120"/>
          <w:sz w:val="16"/>
          <w:szCs w:val="16"/>
          <w:lang w:val="en-US"/>
        </w:rPr>
        <w:drawing>
          <wp:inline distT="0" distB="0" distL="0" distR="0" wp14:anchorId="3BD5E9E7" wp14:editId="187B2228">
            <wp:extent cx="5734050" cy="1151050"/>
            <wp:effectExtent l="0" t="0" r="0" b="0"/>
            <wp:docPr id="1" name="Picture 1" descr="C:\Users\Gani.Cacaj\Desktop\Logo-KDE\1 Bane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ni.Cacaj\Desktop\Logo-KDE\1 Baneri-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151050"/>
                    </a:xfrm>
                    <a:prstGeom prst="rect">
                      <a:avLst/>
                    </a:prstGeom>
                    <a:noFill/>
                    <a:ln>
                      <a:noFill/>
                    </a:ln>
                  </pic:spPr>
                </pic:pic>
              </a:graphicData>
            </a:graphic>
          </wp:inline>
        </w:drawing>
      </w:r>
    </w:p>
    <w:p w:rsidR="00200335" w:rsidRDefault="00200335" w:rsidP="0037723D">
      <w:pPr>
        <w:spacing w:line="360" w:lineRule="auto"/>
        <w:rPr>
          <w:rFonts w:ascii="Times New Roman" w:hAnsi="Times New Roman" w:cs="Times New Roman"/>
          <w:sz w:val="24"/>
          <w:szCs w:val="24"/>
        </w:rPr>
      </w:pPr>
    </w:p>
    <w:p w:rsidR="00200335" w:rsidRDefault="00200335" w:rsidP="00200335">
      <w:pPr>
        <w:spacing w:line="360" w:lineRule="auto"/>
        <w:jc w:val="center"/>
        <w:rPr>
          <w:rFonts w:ascii="Times New Roman" w:hAnsi="Times New Roman" w:cs="Times New Roman"/>
          <w:sz w:val="24"/>
          <w:szCs w:val="24"/>
        </w:rPr>
      </w:pPr>
    </w:p>
    <w:p w:rsidR="00200335" w:rsidRDefault="00200335" w:rsidP="00200335">
      <w:pPr>
        <w:spacing w:line="360" w:lineRule="auto"/>
        <w:jc w:val="center"/>
        <w:rPr>
          <w:rFonts w:ascii="Times New Roman" w:hAnsi="Times New Roman" w:cs="Times New Roman"/>
          <w:sz w:val="24"/>
          <w:szCs w:val="24"/>
        </w:rPr>
      </w:pPr>
    </w:p>
    <w:p w:rsidR="009E7C27" w:rsidRDefault="009E7C27" w:rsidP="00200335">
      <w:pPr>
        <w:spacing w:line="360" w:lineRule="auto"/>
        <w:jc w:val="center"/>
        <w:rPr>
          <w:rFonts w:ascii="Times New Roman" w:hAnsi="Times New Roman" w:cs="Times New Roman"/>
          <w:sz w:val="24"/>
          <w:szCs w:val="24"/>
        </w:rPr>
      </w:pPr>
    </w:p>
    <w:p w:rsidR="00200335" w:rsidRDefault="00200335" w:rsidP="00200335">
      <w:pPr>
        <w:spacing w:line="360" w:lineRule="auto"/>
        <w:jc w:val="center"/>
        <w:rPr>
          <w:rFonts w:ascii="Times New Roman" w:hAnsi="Times New Roman" w:cs="Times New Roman"/>
          <w:sz w:val="24"/>
          <w:szCs w:val="24"/>
        </w:rPr>
      </w:pPr>
    </w:p>
    <w:p w:rsidR="00200335" w:rsidRDefault="00200335" w:rsidP="00200335">
      <w:pPr>
        <w:spacing w:line="360" w:lineRule="auto"/>
        <w:jc w:val="center"/>
        <w:rPr>
          <w:rFonts w:ascii="Times New Roman" w:hAnsi="Times New Roman" w:cs="Times New Roman"/>
          <w:b/>
          <w:sz w:val="32"/>
          <w:szCs w:val="32"/>
        </w:rPr>
      </w:pPr>
      <w:r w:rsidRPr="00200335">
        <w:rPr>
          <w:rFonts w:ascii="Times New Roman" w:hAnsi="Times New Roman" w:cs="Times New Roman"/>
          <w:b/>
          <w:sz w:val="32"/>
          <w:szCs w:val="32"/>
        </w:rPr>
        <w:t>KOMUNA E DEÇANIT</w:t>
      </w:r>
    </w:p>
    <w:p w:rsidR="000A0783" w:rsidRPr="00200335" w:rsidRDefault="000A0783" w:rsidP="00200335">
      <w:pPr>
        <w:spacing w:line="360" w:lineRule="auto"/>
        <w:jc w:val="center"/>
        <w:rPr>
          <w:rFonts w:ascii="Times New Roman" w:hAnsi="Times New Roman" w:cs="Times New Roman"/>
          <w:b/>
          <w:sz w:val="32"/>
          <w:szCs w:val="32"/>
        </w:rPr>
      </w:pPr>
    </w:p>
    <w:p w:rsidR="00CC540C" w:rsidRDefault="0037723D" w:rsidP="00200335">
      <w:pPr>
        <w:spacing w:line="360" w:lineRule="auto"/>
        <w:jc w:val="center"/>
        <w:rPr>
          <w:rFonts w:ascii="Times New Roman" w:hAnsi="Times New Roman" w:cs="Times New Roman"/>
          <w:b/>
          <w:sz w:val="32"/>
          <w:szCs w:val="32"/>
        </w:rPr>
      </w:pPr>
      <w:r w:rsidRPr="00200335">
        <w:rPr>
          <w:rFonts w:ascii="Times New Roman" w:hAnsi="Times New Roman" w:cs="Times New Roman"/>
          <w:b/>
          <w:sz w:val="32"/>
          <w:szCs w:val="32"/>
        </w:rPr>
        <w:t>DREJTORIA PER BUXHET DHE FINANCA</w:t>
      </w:r>
    </w:p>
    <w:p w:rsidR="0037723D" w:rsidRPr="00200335" w:rsidRDefault="00CC540C" w:rsidP="00200335">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 RAPORT I PUNES </w:t>
      </w:r>
      <w:r w:rsidR="00412A1F">
        <w:rPr>
          <w:rFonts w:ascii="Times New Roman" w:hAnsi="Times New Roman" w:cs="Times New Roman"/>
          <w:b/>
          <w:sz w:val="32"/>
          <w:szCs w:val="32"/>
        </w:rPr>
        <w:t>PËR VITIN 2025</w:t>
      </w:r>
    </w:p>
    <w:p w:rsidR="00200335" w:rsidRDefault="00200335" w:rsidP="00200335">
      <w:pPr>
        <w:spacing w:line="360" w:lineRule="auto"/>
        <w:jc w:val="center"/>
        <w:rPr>
          <w:rFonts w:ascii="Times New Roman" w:hAnsi="Times New Roman" w:cs="Times New Roman"/>
          <w:sz w:val="24"/>
          <w:szCs w:val="24"/>
        </w:rPr>
      </w:pPr>
    </w:p>
    <w:p w:rsidR="00200335" w:rsidRDefault="00200335" w:rsidP="00754773">
      <w:pPr>
        <w:spacing w:line="360" w:lineRule="auto"/>
        <w:rPr>
          <w:rFonts w:ascii="Times New Roman" w:hAnsi="Times New Roman" w:cs="Times New Roman"/>
          <w:sz w:val="24"/>
          <w:szCs w:val="24"/>
        </w:rPr>
      </w:pPr>
    </w:p>
    <w:p w:rsidR="00200335" w:rsidRDefault="00200335" w:rsidP="00200335">
      <w:pPr>
        <w:spacing w:line="360" w:lineRule="auto"/>
        <w:jc w:val="center"/>
        <w:rPr>
          <w:rFonts w:ascii="Times New Roman" w:hAnsi="Times New Roman" w:cs="Times New Roman"/>
          <w:sz w:val="24"/>
          <w:szCs w:val="24"/>
        </w:rPr>
      </w:pPr>
    </w:p>
    <w:p w:rsidR="00200335" w:rsidRDefault="00200335" w:rsidP="00200335">
      <w:pPr>
        <w:spacing w:line="360" w:lineRule="auto"/>
        <w:rPr>
          <w:rFonts w:ascii="Times New Roman" w:hAnsi="Times New Roman" w:cs="Times New Roman"/>
          <w:sz w:val="24"/>
          <w:szCs w:val="24"/>
        </w:rPr>
      </w:pPr>
    </w:p>
    <w:p w:rsidR="00200335" w:rsidRDefault="00200335" w:rsidP="00200335">
      <w:pPr>
        <w:spacing w:line="360" w:lineRule="auto"/>
        <w:jc w:val="center"/>
        <w:rPr>
          <w:rFonts w:ascii="Times New Roman" w:hAnsi="Times New Roman" w:cs="Times New Roman"/>
          <w:sz w:val="20"/>
          <w:szCs w:val="20"/>
        </w:rPr>
      </w:pPr>
    </w:p>
    <w:p w:rsidR="00200335" w:rsidRDefault="00200335" w:rsidP="00200335">
      <w:pPr>
        <w:spacing w:line="360" w:lineRule="auto"/>
        <w:jc w:val="center"/>
        <w:rPr>
          <w:rFonts w:ascii="Times New Roman" w:hAnsi="Times New Roman" w:cs="Times New Roman"/>
          <w:sz w:val="20"/>
          <w:szCs w:val="20"/>
        </w:rPr>
      </w:pPr>
    </w:p>
    <w:p w:rsidR="00200335" w:rsidRDefault="0037723D" w:rsidP="00200335">
      <w:pPr>
        <w:spacing w:after="0" w:line="240" w:lineRule="auto"/>
        <w:jc w:val="center"/>
        <w:rPr>
          <w:rFonts w:ascii="Times New Roman" w:hAnsi="Times New Roman" w:cs="Times New Roman"/>
          <w:sz w:val="20"/>
          <w:szCs w:val="20"/>
        </w:rPr>
      </w:pPr>
      <w:r w:rsidRPr="00200335">
        <w:rPr>
          <w:rFonts w:ascii="Times New Roman" w:hAnsi="Times New Roman" w:cs="Times New Roman"/>
          <w:sz w:val="20"/>
          <w:szCs w:val="20"/>
        </w:rPr>
        <w:t>DEÇAN</w:t>
      </w:r>
    </w:p>
    <w:p w:rsidR="008D7E3A" w:rsidRPr="000A0783" w:rsidRDefault="0037723D" w:rsidP="000A0783">
      <w:pPr>
        <w:spacing w:after="0" w:line="240" w:lineRule="auto"/>
        <w:jc w:val="center"/>
        <w:rPr>
          <w:rFonts w:ascii="Times New Roman" w:hAnsi="Times New Roman" w:cs="Times New Roman"/>
          <w:sz w:val="20"/>
          <w:szCs w:val="20"/>
        </w:rPr>
      </w:pPr>
      <w:r w:rsidRPr="00200335">
        <w:rPr>
          <w:rFonts w:ascii="Times New Roman" w:hAnsi="Times New Roman" w:cs="Times New Roman"/>
          <w:sz w:val="20"/>
          <w:szCs w:val="20"/>
        </w:rPr>
        <w:t xml:space="preserve"> </w:t>
      </w:r>
      <w:r w:rsidR="00200335">
        <w:rPr>
          <w:rFonts w:ascii="Times New Roman" w:hAnsi="Times New Roman" w:cs="Times New Roman"/>
          <w:sz w:val="20"/>
          <w:szCs w:val="20"/>
        </w:rPr>
        <w:t xml:space="preserve">Janar </w:t>
      </w:r>
      <w:bookmarkStart w:id="1" w:name="_Toc111675265"/>
      <w:r w:rsidR="00412A1F">
        <w:rPr>
          <w:rFonts w:ascii="Times New Roman" w:hAnsi="Times New Roman" w:cs="Times New Roman"/>
          <w:sz w:val="20"/>
          <w:szCs w:val="20"/>
        </w:rPr>
        <w:t>2026</w:t>
      </w:r>
    </w:p>
    <w:p w:rsidR="008D7E3A" w:rsidRPr="009C5AA3" w:rsidRDefault="008D7E3A" w:rsidP="008D7E3A">
      <w:pPr>
        <w:pStyle w:val="Heading1"/>
        <w:rPr>
          <w:rFonts w:ascii="Times New Roman" w:hAnsi="Times New Roman" w:cs="Times New Roman"/>
          <w:b/>
          <w:color w:val="auto"/>
          <w:sz w:val="24"/>
          <w:szCs w:val="24"/>
        </w:rPr>
      </w:pPr>
      <w:bookmarkStart w:id="2" w:name="_Toc111675375"/>
      <w:bookmarkStart w:id="3" w:name="_Toc124018172"/>
      <w:bookmarkStart w:id="4" w:name="_Toc124018206"/>
      <w:bookmarkStart w:id="5" w:name="_Toc124414189"/>
      <w:bookmarkStart w:id="6" w:name="_Toc124847445"/>
      <w:bookmarkStart w:id="7" w:name="_Toc188274091"/>
      <w:bookmarkStart w:id="8" w:name="_Toc188275227"/>
      <w:bookmarkStart w:id="9" w:name="_Toc188275757"/>
      <w:bookmarkStart w:id="10" w:name="_Toc218599856"/>
      <w:r w:rsidRPr="009C5AA3">
        <w:rPr>
          <w:rFonts w:ascii="Times New Roman" w:hAnsi="Times New Roman" w:cs="Times New Roman"/>
          <w:b/>
          <w:color w:val="auto"/>
          <w:sz w:val="24"/>
          <w:szCs w:val="24"/>
        </w:rPr>
        <w:lastRenderedPageBreak/>
        <w:t>Përmbajtja</w:t>
      </w:r>
      <w:bookmarkEnd w:id="1"/>
      <w:bookmarkEnd w:id="2"/>
      <w:bookmarkEnd w:id="3"/>
      <w:bookmarkEnd w:id="4"/>
      <w:bookmarkEnd w:id="5"/>
      <w:bookmarkEnd w:id="6"/>
      <w:bookmarkEnd w:id="7"/>
      <w:bookmarkEnd w:id="8"/>
      <w:bookmarkEnd w:id="9"/>
      <w:bookmarkEnd w:id="10"/>
    </w:p>
    <w:p w:rsidR="001D172E" w:rsidRDefault="001D172E" w:rsidP="008D7E3A">
      <w:pPr>
        <w:rPr>
          <w:rFonts w:ascii="Times New Roman" w:hAnsi="Times New Roman" w:cs="Times New Roman"/>
          <w:sz w:val="24"/>
          <w:szCs w:val="24"/>
        </w:rPr>
      </w:pPr>
    </w:p>
    <w:p w:rsidR="00237661" w:rsidRDefault="00237661">
      <w:pPr>
        <w:pStyle w:val="TOC1"/>
        <w:tabs>
          <w:tab w:val="right" w:leader="dot" w:pos="9980"/>
        </w:tabs>
        <w:rPr>
          <w:rFonts w:eastAsiaTheme="minorEastAsia"/>
          <w:noProof/>
          <w:lang w:val="en-US"/>
        </w:rPr>
      </w:pPr>
      <w:r>
        <w:rPr>
          <w:rFonts w:eastAsiaTheme="minorEastAsia"/>
          <w:noProof/>
          <w:lang w:val="en-US"/>
        </w:rPr>
        <w:fldChar w:fldCharType="begin"/>
      </w:r>
      <w:r>
        <w:rPr>
          <w:rFonts w:eastAsiaTheme="minorEastAsia"/>
          <w:noProof/>
          <w:lang w:val="en-US"/>
        </w:rPr>
        <w:instrText xml:space="preserve"> TOC \o "1-3" \h \z \u </w:instrText>
      </w:r>
      <w:r>
        <w:rPr>
          <w:rFonts w:eastAsiaTheme="minorEastAsia"/>
          <w:noProof/>
          <w:lang w:val="en-US"/>
        </w:rPr>
        <w:fldChar w:fldCharType="separate"/>
      </w:r>
      <w:hyperlink w:anchor="_Toc218599856" w:history="1">
        <w:r w:rsidRPr="00373C00">
          <w:rPr>
            <w:rStyle w:val="Hyperlink"/>
            <w:rFonts w:ascii="Times New Roman" w:hAnsi="Times New Roman" w:cs="Times New Roman"/>
            <w:b/>
            <w:noProof/>
          </w:rPr>
          <w:t>Përmbajtja</w:t>
        </w:r>
        <w:r>
          <w:rPr>
            <w:noProof/>
            <w:webHidden/>
          </w:rPr>
          <w:tab/>
        </w:r>
        <w:r>
          <w:rPr>
            <w:noProof/>
            <w:webHidden/>
          </w:rPr>
          <w:fldChar w:fldCharType="begin"/>
        </w:r>
        <w:r>
          <w:rPr>
            <w:noProof/>
            <w:webHidden/>
          </w:rPr>
          <w:instrText xml:space="preserve"> PAGEREF _Toc218599856 \h </w:instrText>
        </w:r>
        <w:r>
          <w:rPr>
            <w:noProof/>
            <w:webHidden/>
          </w:rPr>
        </w:r>
        <w:r>
          <w:rPr>
            <w:noProof/>
            <w:webHidden/>
          </w:rPr>
          <w:fldChar w:fldCharType="separate"/>
        </w:r>
        <w:r w:rsidR="000079B2">
          <w:rPr>
            <w:noProof/>
            <w:webHidden/>
          </w:rPr>
          <w:t>2</w:t>
        </w:r>
        <w:r>
          <w:rPr>
            <w:noProof/>
            <w:webHidden/>
          </w:rPr>
          <w:fldChar w:fldCharType="end"/>
        </w:r>
      </w:hyperlink>
    </w:p>
    <w:p w:rsidR="00237661" w:rsidRDefault="00B10BE4">
      <w:pPr>
        <w:pStyle w:val="TOC1"/>
        <w:tabs>
          <w:tab w:val="right" w:leader="dot" w:pos="9980"/>
        </w:tabs>
        <w:rPr>
          <w:rFonts w:eastAsiaTheme="minorEastAsia"/>
          <w:noProof/>
          <w:lang w:val="en-US"/>
        </w:rPr>
      </w:pPr>
      <w:hyperlink w:anchor="_Toc218599857" w:history="1">
        <w:r w:rsidR="00237661" w:rsidRPr="00373C00">
          <w:rPr>
            <w:rStyle w:val="Hyperlink"/>
            <w:rFonts w:ascii="Times New Roman" w:hAnsi="Times New Roman" w:cs="Times New Roman"/>
            <w:b/>
            <w:noProof/>
          </w:rPr>
          <w:t>Hyrje</w:t>
        </w:r>
        <w:r w:rsidR="00237661">
          <w:rPr>
            <w:noProof/>
            <w:webHidden/>
          </w:rPr>
          <w:tab/>
        </w:r>
        <w:r w:rsidR="00237661">
          <w:rPr>
            <w:noProof/>
            <w:webHidden/>
          </w:rPr>
          <w:fldChar w:fldCharType="begin"/>
        </w:r>
        <w:r w:rsidR="00237661">
          <w:rPr>
            <w:noProof/>
            <w:webHidden/>
          </w:rPr>
          <w:instrText xml:space="preserve"> PAGEREF _Toc218599857 \h </w:instrText>
        </w:r>
        <w:r w:rsidR="00237661">
          <w:rPr>
            <w:noProof/>
            <w:webHidden/>
          </w:rPr>
        </w:r>
        <w:r w:rsidR="00237661">
          <w:rPr>
            <w:noProof/>
            <w:webHidden/>
          </w:rPr>
          <w:fldChar w:fldCharType="separate"/>
        </w:r>
        <w:r w:rsidR="000079B2">
          <w:rPr>
            <w:noProof/>
            <w:webHidden/>
          </w:rPr>
          <w:t>3</w:t>
        </w:r>
        <w:r w:rsidR="00237661">
          <w:rPr>
            <w:noProof/>
            <w:webHidden/>
          </w:rPr>
          <w:fldChar w:fldCharType="end"/>
        </w:r>
      </w:hyperlink>
    </w:p>
    <w:p w:rsidR="00237661" w:rsidRDefault="00B10BE4">
      <w:pPr>
        <w:pStyle w:val="TOC1"/>
        <w:tabs>
          <w:tab w:val="right" w:leader="dot" w:pos="9980"/>
        </w:tabs>
        <w:rPr>
          <w:rFonts w:eastAsiaTheme="minorEastAsia"/>
          <w:noProof/>
          <w:lang w:val="en-US"/>
        </w:rPr>
      </w:pPr>
      <w:hyperlink w:anchor="_Toc218599858" w:history="1">
        <w:r w:rsidR="00237661" w:rsidRPr="00373C00">
          <w:rPr>
            <w:rStyle w:val="Hyperlink"/>
            <w:b/>
            <w:noProof/>
          </w:rPr>
          <w:t>1. TË HYRAT VETANAKE</w:t>
        </w:r>
        <w:r w:rsidR="00237661">
          <w:rPr>
            <w:noProof/>
            <w:webHidden/>
          </w:rPr>
          <w:tab/>
        </w:r>
        <w:r w:rsidR="00237661">
          <w:rPr>
            <w:noProof/>
            <w:webHidden/>
          </w:rPr>
          <w:fldChar w:fldCharType="begin"/>
        </w:r>
        <w:r w:rsidR="00237661">
          <w:rPr>
            <w:noProof/>
            <w:webHidden/>
          </w:rPr>
          <w:instrText xml:space="preserve"> PAGEREF _Toc218599858 \h </w:instrText>
        </w:r>
        <w:r w:rsidR="00237661">
          <w:rPr>
            <w:noProof/>
            <w:webHidden/>
          </w:rPr>
        </w:r>
        <w:r w:rsidR="00237661">
          <w:rPr>
            <w:noProof/>
            <w:webHidden/>
          </w:rPr>
          <w:fldChar w:fldCharType="separate"/>
        </w:r>
        <w:r w:rsidR="000079B2">
          <w:rPr>
            <w:noProof/>
            <w:webHidden/>
          </w:rPr>
          <w:t>4</w:t>
        </w:r>
        <w:r w:rsidR="00237661">
          <w:rPr>
            <w:noProof/>
            <w:webHidden/>
          </w:rPr>
          <w:fldChar w:fldCharType="end"/>
        </w:r>
      </w:hyperlink>
    </w:p>
    <w:p w:rsidR="00237661" w:rsidRDefault="00B10BE4">
      <w:pPr>
        <w:pStyle w:val="TOC2"/>
        <w:tabs>
          <w:tab w:val="right" w:leader="dot" w:pos="9980"/>
        </w:tabs>
        <w:rPr>
          <w:rFonts w:eastAsiaTheme="minorEastAsia"/>
          <w:noProof/>
          <w:lang w:val="en-US"/>
        </w:rPr>
      </w:pPr>
      <w:hyperlink w:anchor="_Toc218599859" w:history="1">
        <w:r w:rsidR="00237661" w:rsidRPr="00373C00">
          <w:rPr>
            <w:rStyle w:val="Hyperlink"/>
            <w:b/>
            <w:noProof/>
          </w:rPr>
          <w:t>1.1. Planifikimi dhe realizimi i të hyrave vetanake komunale</w:t>
        </w:r>
        <w:r w:rsidR="00237661">
          <w:rPr>
            <w:noProof/>
            <w:webHidden/>
          </w:rPr>
          <w:tab/>
        </w:r>
        <w:r w:rsidR="00237661">
          <w:rPr>
            <w:noProof/>
            <w:webHidden/>
          </w:rPr>
          <w:fldChar w:fldCharType="begin"/>
        </w:r>
        <w:r w:rsidR="00237661">
          <w:rPr>
            <w:noProof/>
            <w:webHidden/>
          </w:rPr>
          <w:instrText xml:space="preserve"> PAGEREF _Toc218599859 \h </w:instrText>
        </w:r>
        <w:r w:rsidR="00237661">
          <w:rPr>
            <w:noProof/>
            <w:webHidden/>
          </w:rPr>
        </w:r>
        <w:r w:rsidR="00237661">
          <w:rPr>
            <w:noProof/>
            <w:webHidden/>
          </w:rPr>
          <w:fldChar w:fldCharType="separate"/>
        </w:r>
        <w:r w:rsidR="000079B2">
          <w:rPr>
            <w:noProof/>
            <w:webHidden/>
          </w:rPr>
          <w:t>4</w:t>
        </w:r>
        <w:r w:rsidR="00237661">
          <w:rPr>
            <w:noProof/>
            <w:webHidden/>
          </w:rPr>
          <w:fldChar w:fldCharType="end"/>
        </w:r>
      </w:hyperlink>
    </w:p>
    <w:p w:rsidR="00237661" w:rsidRDefault="00B10BE4">
      <w:pPr>
        <w:pStyle w:val="TOC3"/>
        <w:tabs>
          <w:tab w:val="right" w:leader="dot" w:pos="9980"/>
        </w:tabs>
        <w:rPr>
          <w:rFonts w:eastAsiaTheme="minorEastAsia"/>
          <w:noProof/>
          <w:lang w:val="en-US"/>
        </w:rPr>
      </w:pPr>
      <w:hyperlink w:anchor="_Toc218599860" w:history="1">
        <w:r w:rsidR="00237661" w:rsidRPr="00373C00">
          <w:rPr>
            <w:rStyle w:val="Hyperlink"/>
            <w:b/>
            <w:noProof/>
          </w:rPr>
          <w:t>1.2. Tabelat e realizimit detaj të të hyrave vetanake</w:t>
        </w:r>
        <w:r w:rsidR="00237661">
          <w:rPr>
            <w:noProof/>
            <w:webHidden/>
          </w:rPr>
          <w:tab/>
        </w:r>
        <w:r w:rsidR="00237661">
          <w:rPr>
            <w:noProof/>
            <w:webHidden/>
          </w:rPr>
          <w:fldChar w:fldCharType="begin"/>
        </w:r>
        <w:r w:rsidR="00237661">
          <w:rPr>
            <w:noProof/>
            <w:webHidden/>
          </w:rPr>
          <w:instrText xml:space="preserve"> PAGEREF _Toc218599860 \h </w:instrText>
        </w:r>
        <w:r w:rsidR="00237661">
          <w:rPr>
            <w:noProof/>
            <w:webHidden/>
          </w:rPr>
        </w:r>
        <w:r w:rsidR="00237661">
          <w:rPr>
            <w:noProof/>
            <w:webHidden/>
          </w:rPr>
          <w:fldChar w:fldCharType="separate"/>
        </w:r>
        <w:r w:rsidR="000079B2">
          <w:rPr>
            <w:noProof/>
            <w:webHidden/>
          </w:rPr>
          <w:t>4</w:t>
        </w:r>
        <w:r w:rsidR="00237661">
          <w:rPr>
            <w:noProof/>
            <w:webHidden/>
          </w:rPr>
          <w:fldChar w:fldCharType="end"/>
        </w:r>
      </w:hyperlink>
    </w:p>
    <w:p w:rsidR="00237661" w:rsidRDefault="00B10BE4">
      <w:pPr>
        <w:pStyle w:val="TOC3"/>
        <w:tabs>
          <w:tab w:val="left" w:pos="1100"/>
          <w:tab w:val="right" w:leader="dot" w:pos="9980"/>
        </w:tabs>
        <w:rPr>
          <w:rFonts w:eastAsiaTheme="minorEastAsia"/>
          <w:noProof/>
          <w:lang w:val="en-US"/>
        </w:rPr>
      </w:pPr>
      <w:hyperlink w:anchor="_Toc218599861" w:history="1">
        <w:r w:rsidR="00237661" w:rsidRPr="00373C00">
          <w:rPr>
            <w:rStyle w:val="Hyperlink"/>
            <w:b/>
            <w:noProof/>
          </w:rPr>
          <w:t>1.3.</w:t>
        </w:r>
        <w:r w:rsidR="00237661">
          <w:rPr>
            <w:rFonts w:eastAsiaTheme="minorEastAsia"/>
            <w:noProof/>
            <w:lang w:val="en-US"/>
          </w:rPr>
          <w:tab/>
        </w:r>
        <w:r w:rsidR="00237661" w:rsidRPr="00373C00">
          <w:rPr>
            <w:rStyle w:val="Hyperlink"/>
            <w:b/>
            <w:noProof/>
          </w:rPr>
          <w:t>Paraqitja tabelare e periudhës së realizimit të të hyrave vetanake krahasuar me vitin 2024</w:t>
        </w:r>
        <w:r w:rsidR="00237661">
          <w:rPr>
            <w:noProof/>
            <w:webHidden/>
          </w:rPr>
          <w:tab/>
        </w:r>
        <w:r w:rsidR="00237661">
          <w:rPr>
            <w:noProof/>
            <w:webHidden/>
          </w:rPr>
          <w:fldChar w:fldCharType="begin"/>
        </w:r>
        <w:r w:rsidR="00237661">
          <w:rPr>
            <w:noProof/>
            <w:webHidden/>
          </w:rPr>
          <w:instrText xml:space="preserve"> PAGEREF _Toc218599861 \h </w:instrText>
        </w:r>
        <w:r w:rsidR="00237661">
          <w:rPr>
            <w:noProof/>
            <w:webHidden/>
          </w:rPr>
        </w:r>
        <w:r w:rsidR="00237661">
          <w:rPr>
            <w:noProof/>
            <w:webHidden/>
          </w:rPr>
          <w:fldChar w:fldCharType="separate"/>
        </w:r>
        <w:r w:rsidR="000079B2">
          <w:rPr>
            <w:noProof/>
            <w:webHidden/>
          </w:rPr>
          <w:t>5</w:t>
        </w:r>
        <w:r w:rsidR="00237661">
          <w:rPr>
            <w:noProof/>
            <w:webHidden/>
          </w:rPr>
          <w:fldChar w:fldCharType="end"/>
        </w:r>
      </w:hyperlink>
    </w:p>
    <w:p w:rsidR="00237661" w:rsidRDefault="00B10BE4">
      <w:pPr>
        <w:pStyle w:val="TOC1"/>
        <w:tabs>
          <w:tab w:val="left" w:pos="440"/>
          <w:tab w:val="right" w:leader="dot" w:pos="9980"/>
        </w:tabs>
        <w:rPr>
          <w:rFonts w:eastAsiaTheme="minorEastAsia"/>
          <w:noProof/>
          <w:lang w:val="en-US"/>
        </w:rPr>
      </w:pPr>
      <w:hyperlink w:anchor="_Toc218599862" w:history="1">
        <w:r w:rsidR="00237661" w:rsidRPr="00373C00">
          <w:rPr>
            <w:rStyle w:val="Hyperlink"/>
            <w:b/>
            <w:noProof/>
          </w:rPr>
          <w:t>2.</w:t>
        </w:r>
        <w:r w:rsidR="00237661">
          <w:rPr>
            <w:rFonts w:eastAsiaTheme="minorEastAsia"/>
            <w:noProof/>
            <w:lang w:val="en-US"/>
          </w:rPr>
          <w:tab/>
        </w:r>
        <w:r w:rsidR="00237661" w:rsidRPr="00373C00">
          <w:rPr>
            <w:rStyle w:val="Hyperlink"/>
            <w:b/>
            <w:noProof/>
          </w:rPr>
          <w:t>PLANIFIKIMI DHE SHPENZIMI I BUXHETI PËR VITIN 2025</w:t>
        </w:r>
        <w:r w:rsidR="00237661">
          <w:rPr>
            <w:noProof/>
            <w:webHidden/>
          </w:rPr>
          <w:tab/>
        </w:r>
        <w:r w:rsidR="00237661">
          <w:rPr>
            <w:noProof/>
            <w:webHidden/>
          </w:rPr>
          <w:fldChar w:fldCharType="begin"/>
        </w:r>
        <w:r w:rsidR="00237661">
          <w:rPr>
            <w:noProof/>
            <w:webHidden/>
          </w:rPr>
          <w:instrText xml:space="preserve"> PAGEREF _Toc218599862 \h </w:instrText>
        </w:r>
        <w:r w:rsidR="00237661">
          <w:rPr>
            <w:noProof/>
            <w:webHidden/>
          </w:rPr>
        </w:r>
        <w:r w:rsidR="00237661">
          <w:rPr>
            <w:noProof/>
            <w:webHidden/>
          </w:rPr>
          <w:fldChar w:fldCharType="separate"/>
        </w:r>
        <w:r w:rsidR="000079B2">
          <w:rPr>
            <w:noProof/>
            <w:webHidden/>
          </w:rPr>
          <w:t>6</w:t>
        </w:r>
        <w:r w:rsidR="00237661">
          <w:rPr>
            <w:noProof/>
            <w:webHidden/>
          </w:rPr>
          <w:fldChar w:fldCharType="end"/>
        </w:r>
      </w:hyperlink>
    </w:p>
    <w:p w:rsidR="00237661" w:rsidRDefault="00B10BE4">
      <w:pPr>
        <w:pStyle w:val="TOC2"/>
        <w:tabs>
          <w:tab w:val="right" w:leader="dot" w:pos="9980"/>
        </w:tabs>
        <w:rPr>
          <w:rFonts w:eastAsiaTheme="minorEastAsia"/>
          <w:noProof/>
          <w:lang w:val="en-US"/>
        </w:rPr>
      </w:pPr>
      <w:hyperlink w:anchor="_Toc218599863" w:history="1">
        <w:r w:rsidR="00237661" w:rsidRPr="00373C00">
          <w:rPr>
            <w:rStyle w:val="Hyperlink"/>
            <w:b/>
            <w:bCs/>
            <w:noProof/>
          </w:rPr>
          <w:t>2.1. Raport për periudhën janar–dhjetor 2025</w:t>
        </w:r>
        <w:r w:rsidR="00237661">
          <w:rPr>
            <w:noProof/>
            <w:webHidden/>
          </w:rPr>
          <w:tab/>
        </w:r>
        <w:r w:rsidR="00237661">
          <w:rPr>
            <w:noProof/>
            <w:webHidden/>
          </w:rPr>
          <w:fldChar w:fldCharType="begin"/>
        </w:r>
        <w:r w:rsidR="00237661">
          <w:rPr>
            <w:noProof/>
            <w:webHidden/>
          </w:rPr>
          <w:instrText xml:space="preserve"> PAGEREF _Toc218599863 \h </w:instrText>
        </w:r>
        <w:r w:rsidR="00237661">
          <w:rPr>
            <w:noProof/>
            <w:webHidden/>
          </w:rPr>
        </w:r>
        <w:r w:rsidR="00237661">
          <w:rPr>
            <w:noProof/>
            <w:webHidden/>
          </w:rPr>
          <w:fldChar w:fldCharType="separate"/>
        </w:r>
        <w:r w:rsidR="000079B2">
          <w:rPr>
            <w:noProof/>
            <w:webHidden/>
          </w:rPr>
          <w:t>6</w:t>
        </w:r>
        <w:r w:rsidR="00237661">
          <w:rPr>
            <w:noProof/>
            <w:webHidden/>
          </w:rPr>
          <w:fldChar w:fldCharType="end"/>
        </w:r>
      </w:hyperlink>
    </w:p>
    <w:p w:rsidR="00237661" w:rsidRDefault="00B10BE4">
      <w:pPr>
        <w:pStyle w:val="TOC3"/>
        <w:tabs>
          <w:tab w:val="right" w:leader="dot" w:pos="9980"/>
        </w:tabs>
        <w:rPr>
          <w:rFonts w:eastAsiaTheme="minorEastAsia"/>
          <w:noProof/>
          <w:lang w:val="en-US"/>
        </w:rPr>
      </w:pPr>
      <w:hyperlink w:anchor="_Toc218599864" w:history="1">
        <w:r w:rsidR="00237661" w:rsidRPr="00373C00">
          <w:rPr>
            <w:rStyle w:val="Hyperlink"/>
            <w:b/>
            <w:noProof/>
          </w:rPr>
          <w:t>2.1.1.  Planifikimi i Buxhetit për vitin 2026</w:t>
        </w:r>
        <w:r w:rsidR="00237661">
          <w:rPr>
            <w:noProof/>
            <w:webHidden/>
          </w:rPr>
          <w:tab/>
        </w:r>
        <w:r w:rsidR="00237661">
          <w:rPr>
            <w:noProof/>
            <w:webHidden/>
          </w:rPr>
          <w:fldChar w:fldCharType="begin"/>
        </w:r>
        <w:r w:rsidR="00237661">
          <w:rPr>
            <w:noProof/>
            <w:webHidden/>
          </w:rPr>
          <w:instrText xml:space="preserve"> PAGEREF _Toc218599864 \h </w:instrText>
        </w:r>
        <w:r w:rsidR="00237661">
          <w:rPr>
            <w:noProof/>
            <w:webHidden/>
          </w:rPr>
        </w:r>
        <w:r w:rsidR="00237661">
          <w:rPr>
            <w:noProof/>
            <w:webHidden/>
          </w:rPr>
          <w:fldChar w:fldCharType="separate"/>
        </w:r>
        <w:r w:rsidR="000079B2">
          <w:rPr>
            <w:noProof/>
            <w:webHidden/>
          </w:rPr>
          <w:t>6</w:t>
        </w:r>
        <w:r w:rsidR="00237661">
          <w:rPr>
            <w:noProof/>
            <w:webHidden/>
          </w:rPr>
          <w:fldChar w:fldCharType="end"/>
        </w:r>
      </w:hyperlink>
    </w:p>
    <w:p w:rsidR="00237661" w:rsidRDefault="00B10BE4">
      <w:pPr>
        <w:pStyle w:val="TOC3"/>
        <w:tabs>
          <w:tab w:val="right" w:leader="dot" w:pos="9980"/>
        </w:tabs>
        <w:rPr>
          <w:rFonts w:eastAsiaTheme="minorEastAsia"/>
          <w:noProof/>
          <w:lang w:val="en-US"/>
        </w:rPr>
      </w:pPr>
      <w:hyperlink w:anchor="_Toc218599865" w:history="1">
        <w:r w:rsidR="00237661" w:rsidRPr="00373C00">
          <w:rPr>
            <w:rStyle w:val="Hyperlink"/>
            <w:b/>
            <w:noProof/>
          </w:rPr>
          <w:t>2.1.2. Shpenzimi i Buxhetit për vitin 2025</w:t>
        </w:r>
        <w:r w:rsidR="00237661">
          <w:rPr>
            <w:noProof/>
            <w:webHidden/>
          </w:rPr>
          <w:tab/>
        </w:r>
        <w:r w:rsidR="00237661">
          <w:rPr>
            <w:noProof/>
            <w:webHidden/>
          </w:rPr>
          <w:fldChar w:fldCharType="begin"/>
        </w:r>
        <w:r w:rsidR="00237661">
          <w:rPr>
            <w:noProof/>
            <w:webHidden/>
          </w:rPr>
          <w:instrText xml:space="preserve"> PAGEREF _Toc218599865 \h </w:instrText>
        </w:r>
        <w:r w:rsidR="00237661">
          <w:rPr>
            <w:noProof/>
            <w:webHidden/>
          </w:rPr>
        </w:r>
        <w:r w:rsidR="00237661">
          <w:rPr>
            <w:noProof/>
            <w:webHidden/>
          </w:rPr>
          <w:fldChar w:fldCharType="separate"/>
        </w:r>
        <w:r w:rsidR="000079B2">
          <w:rPr>
            <w:noProof/>
            <w:webHidden/>
          </w:rPr>
          <w:t>7</w:t>
        </w:r>
        <w:r w:rsidR="00237661">
          <w:rPr>
            <w:noProof/>
            <w:webHidden/>
          </w:rPr>
          <w:fldChar w:fldCharType="end"/>
        </w:r>
      </w:hyperlink>
    </w:p>
    <w:p w:rsidR="00237661" w:rsidRDefault="00B10BE4">
      <w:pPr>
        <w:pStyle w:val="TOC1"/>
        <w:tabs>
          <w:tab w:val="right" w:leader="dot" w:pos="9980"/>
        </w:tabs>
        <w:rPr>
          <w:rFonts w:eastAsiaTheme="minorEastAsia"/>
          <w:noProof/>
          <w:lang w:val="en-US"/>
        </w:rPr>
      </w:pPr>
      <w:hyperlink w:anchor="_Toc218599866" w:history="1">
        <w:r w:rsidR="00237661" w:rsidRPr="00373C00">
          <w:rPr>
            <w:rStyle w:val="Hyperlink"/>
            <w:rFonts w:ascii="Times New Roman" w:hAnsi="Times New Roman" w:cs="Times New Roman"/>
            <w:b/>
            <w:noProof/>
          </w:rPr>
          <w:t>3. PAGESAT NË ARKË</w:t>
        </w:r>
        <w:r w:rsidR="00237661">
          <w:rPr>
            <w:noProof/>
            <w:webHidden/>
          </w:rPr>
          <w:tab/>
        </w:r>
        <w:r w:rsidR="00237661">
          <w:rPr>
            <w:noProof/>
            <w:webHidden/>
          </w:rPr>
          <w:fldChar w:fldCharType="begin"/>
        </w:r>
        <w:r w:rsidR="00237661">
          <w:rPr>
            <w:noProof/>
            <w:webHidden/>
          </w:rPr>
          <w:instrText xml:space="preserve"> PAGEREF _Toc218599866 \h </w:instrText>
        </w:r>
        <w:r w:rsidR="00237661">
          <w:rPr>
            <w:noProof/>
            <w:webHidden/>
          </w:rPr>
        </w:r>
        <w:r w:rsidR="00237661">
          <w:rPr>
            <w:noProof/>
            <w:webHidden/>
          </w:rPr>
          <w:fldChar w:fldCharType="separate"/>
        </w:r>
        <w:r w:rsidR="000079B2">
          <w:rPr>
            <w:noProof/>
            <w:webHidden/>
          </w:rPr>
          <w:t>10</w:t>
        </w:r>
        <w:r w:rsidR="00237661">
          <w:rPr>
            <w:noProof/>
            <w:webHidden/>
          </w:rPr>
          <w:fldChar w:fldCharType="end"/>
        </w:r>
      </w:hyperlink>
    </w:p>
    <w:p w:rsidR="00237661" w:rsidRDefault="00B10BE4">
      <w:pPr>
        <w:pStyle w:val="TOC2"/>
        <w:tabs>
          <w:tab w:val="right" w:leader="dot" w:pos="9980"/>
        </w:tabs>
        <w:rPr>
          <w:rFonts w:eastAsiaTheme="minorEastAsia"/>
          <w:noProof/>
          <w:lang w:val="en-US"/>
        </w:rPr>
      </w:pPr>
      <w:hyperlink w:anchor="_Toc218599867" w:history="1">
        <w:r w:rsidR="00237661" w:rsidRPr="00373C00">
          <w:rPr>
            <w:rStyle w:val="Hyperlink"/>
            <w:b/>
            <w:bCs/>
            <w:noProof/>
          </w:rPr>
          <w:t>3</w:t>
        </w:r>
        <w:r w:rsidR="00237661" w:rsidRPr="00373C00">
          <w:rPr>
            <w:rStyle w:val="Hyperlink"/>
            <w:b/>
            <w:noProof/>
          </w:rPr>
          <w:t>.1. Raport për periudhën janar – dhjetor 2025</w:t>
        </w:r>
        <w:r w:rsidR="00237661">
          <w:rPr>
            <w:noProof/>
            <w:webHidden/>
          </w:rPr>
          <w:tab/>
        </w:r>
        <w:r w:rsidR="00237661">
          <w:rPr>
            <w:noProof/>
            <w:webHidden/>
          </w:rPr>
          <w:fldChar w:fldCharType="begin"/>
        </w:r>
        <w:r w:rsidR="00237661">
          <w:rPr>
            <w:noProof/>
            <w:webHidden/>
          </w:rPr>
          <w:instrText xml:space="preserve"> PAGEREF _Toc218599867 \h </w:instrText>
        </w:r>
        <w:r w:rsidR="00237661">
          <w:rPr>
            <w:noProof/>
            <w:webHidden/>
          </w:rPr>
        </w:r>
        <w:r w:rsidR="00237661">
          <w:rPr>
            <w:noProof/>
            <w:webHidden/>
          </w:rPr>
          <w:fldChar w:fldCharType="separate"/>
        </w:r>
        <w:r w:rsidR="000079B2">
          <w:rPr>
            <w:noProof/>
            <w:webHidden/>
          </w:rPr>
          <w:t>10</w:t>
        </w:r>
        <w:r w:rsidR="00237661">
          <w:rPr>
            <w:noProof/>
            <w:webHidden/>
          </w:rPr>
          <w:fldChar w:fldCharType="end"/>
        </w:r>
      </w:hyperlink>
    </w:p>
    <w:p w:rsidR="00237661" w:rsidRDefault="00B10BE4">
      <w:pPr>
        <w:pStyle w:val="TOC1"/>
        <w:tabs>
          <w:tab w:val="right" w:leader="dot" w:pos="9980"/>
        </w:tabs>
        <w:rPr>
          <w:rFonts w:eastAsiaTheme="minorEastAsia"/>
          <w:noProof/>
          <w:lang w:val="en-US"/>
        </w:rPr>
      </w:pPr>
      <w:hyperlink w:anchor="_Toc218599868" w:history="1">
        <w:r w:rsidR="00237661" w:rsidRPr="00373C00">
          <w:rPr>
            <w:rStyle w:val="Hyperlink"/>
            <w:rFonts w:eastAsia="Times New Roman"/>
            <w:b/>
            <w:noProof/>
          </w:rPr>
          <w:t>4. DEPARTAMENTI I TATIMIT NË PRONË</w:t>
        </w:r>
        <w:r w:rsidR="00237661">
          <w:rPr>
            <w:noProof/>
            <w:webHidden/>
          </w:rPr>
          <w:tab/>
        </w:r>
        <w:r w:rsidR="00237661">
          <w:rPr>
            <w:noProof/>
            <w:webHidden/>
          </w:rPr>
          <w:fldChar w:fldCharType="begin"/>
        </w:r>
        <w:r w:rsidR="00237661">
          <w:rPr>
            <w:noProof/>
            <w:webHidden/>
          </w:rPr>
          <w:instrText xml:space="preserve"> PAGEREF _Toc218599868 \h </w:instrText>
        </w:r>
        <w:r w:rsidR="00237661">
          <w:rPr>
            <w:noProof/>
            <w:webHidden/>
          </w:rPr>
        </w:r>
        <w:r w:rsidR="00237661">
          <w:rPr>
            <w:noProof/>
            <w:webHidden/>
          </w:rPr>
          <w:fldChar w:fldCharType="separate"/>
        </w:r>
        <w:r w:rsidR="000079B2">
          <w:rPr>
            <w:noProof/>
            <w:webHidden/>
          </w:rPr>
          <w:t>11</w:t>
        </w:r>
        <w:r w:rsidR="00237661">
          <w:rPr>
            <w:noProof/>
            <w:webHidden/>
          </w:rPr>
          <w:fldChar w:fldCharType="end"/>
        </w:r>
      </w:hyperlink>
    </w:p>
    <w:p w:rsidR="00237661" w:rsidRDefault="00B10BE4">
      <w:pPr>
        <w:pStyle w:val="TOC2"/>
        <w:tabs>
          <w:tab w:val="right" w:leader="dot" w:pos="9980"/>
        </w:tabs>
        <w:rPr>
          <w:rFonts w:eastAsiaTheme="minorEastAsia"/>
          <w:noProof/>
          <w:lang w:val="en-US"/>
        </w:rPr>
      </w:pPr>
      <w:hyperlink w:anchor="_Toc218599869" w:history="1">
        <w:r w:rsidR="00237661" w:rsidRPr="00373C00">
          <w:rPr>
            <w:rStyle w:val="Hyperlink"/>
            <w:rFonts w:eastAsia="Times New Roman"/>
            <w:b/>
            <w:noProof/>
          </w:rPr>
          <w:t>4.1. Raport për periudhën janar – dhjetor 2025</w:t>
        </w:r>
        <w:r w:rsidR="00237661">
          <w:rPr>
            <w:noProof/>
            <w:webHidden/>
          </w:rPr>
          <w:tab/>
        </w:r>
        <w:r w:rsidR="00237661">
          <w:rPr>
            <w:noProof/>
            <w:webHidden/>
          </w:rPr>
          <w:fldChar w:fldCharType="begin"/>
        </w:r>
        <w:r w:rsidR="00237661">
          <w:rPr>
            <w:noProof/>
            <w:webHidden/>
          </w:rPr>
          <w:instrText xml:space="preserve"> PAGEREF _Toc218599869 \h </w:instrText>
        </w:r>
        <w:r w:rsidR="00237661">
          <w:rPr>
            <w:noProof/>
            <w:webHidden/>
          </w:rPr>
        </w:r>
        <w:r w:rsidR="00237661">
          <w:rPr>
            <w:noProof/>
            <w:webHidden/>
          </w:rPr>
          <w:fldChar w:fldCharType="separate"/>
        </w:r>
        <w:r w:rsidR="000079B2">
          <w:rPr>
            <w:noProof/>
            <w:webHidden/>
          </w:rPr>
          <w:t>11</w:t>
        </w:r>
        <w:r w:rsidR="00237661">
          <w:rPr>
            <w:noProof/>
            <w:webHidden/>
          </w:rPr>
          <w:fldChar w:fldCharType="end"/>
        </w:r>
      </w:hyperlink>
    </w:p>
    <w:p w:rsidR="00237661" w:rsidRDefault="00B10BE4">
      <w:pPr>
        <w:pStyle w:val="TOC3"/>
        <w:tabs>
          <w:tab w:val="right" w:leader="dot" w:pos="9980"/>
        </w:tabs>
        <w:rPr>
          <w:rFonts w:eastAsiaTheme="minorEastAsia"/>
          <w:noProof/>
          <w:lang w:val="en-US"/>
        </w:rPr>
      </w:pPr>
      <w:hyperlink w:anchor="_Toc218599870" w:history="1">
        <w:r w:rsidR="00237661" w:rsidRPr="00373C00">
          <w:rPr>
            <w:rStyle w:val="Hyperlink"/>
            <w:rFonts w:eastAsia="Times New Roman"/>
            <w:b/>
            <w:noProof/>
          </w:rPr>
          <w:t>4.1.1. Aktivitetet kryesore të realizuara janë si vijon:</w:t>
        </w:r>
        <w:r w:rsidR="00237661">
          <w:rPr>
            <w:noProof/>
            <w:webHidden/>
          </w:rPr>
          <w:tab/>
        </w:r>
        <w:r w:rsidR="00237661">
          <w:rPr>
            <w:noProof/>
            <w:webHidden/>
          </w:rPr>
          <w:fldChar w:fldCharType="begin"/>
        </w:r>
        <w:r w:rsidR="00237661">
          <w:rPr>
            <w:noProof/>
            <w:webHidden/>
          </w:rPr>
          <w:instrText xml:space="preserve"> PAGEREF _Toc218599870 \h </w:instrText>
        </w:r>
        <w:r w:rsidR="00237661">
          <w:rPr>
            <w:noProof/>
            <w:webHidden/>
          </w:rPr>
        </w:r>
        <w:r w:rsidR="00237661">
          <w:rPr>
            <w:noProof/>
            <w:webHidden/>
          </w:rPr>
          <w:fldChar w:fldCharType="separate"/>
        </w:r>
        <w:r w:rsidR="000079B2">
          <w:rPr>
            <w:noProof/>
            <w:webHidden/>
          </w:rPr>
          <w:t>11</w:t>
        </w:r>
        <w:r w:rsidR="00237661">
          <w:rPr>
            <w:noProof/>
            <w:webHidden/>
          </w:rPr>
          <w:fldChar w:fldCharType="end"/>
        </w:r>
      </w:hyperlink>
    </w:p>
    <w:p w:rsidR="00937EE0" w:rsidRDefault="00237661" w:rsidP="008D7E3A">
      <w:pPr>
        <w:rPr>
          <w:rFonts w:eastAsiaTheme="minorEastAsia"/>
          <w:noProof/>
          <w:lang w:val="en-US"/>
        </w:rPr>
      </w:pPr>
      <w:r>
        <w:rPr>
          <w:rFonts w:eastAsiaTheme="minorEastAsia"/>
          <w:noProof/>
          <w:lang w:val="en-US"/>
        </w:rPr>
        <w:fldChar w:fldCharType="end"/>
      </w:r>
    </w:p>
    <w:p w:rsidR="00237661" w:rsidRDefault="00237661" w:rsidP="008D7E3A">
      <w:pPr>
        <w:rPr>
          <w:rFonts w:eastAsiaTheme="minorEastAsia"/>
          <w:noProof/>
          <w:lang w:val="en-US"/>
        </w:rPr>
      </w:pPr>
    </w:p>
    <w:p w:rsidR="00237661" w:rsidRDefault="00237661" w:rsidP="008D7E3A">
      <w:pPr>
        <w:rPr>
          <w:rFonts w:eastAsiaTheme="minorEastAsia"/>
          <w:noProof/>
          <w:lang w:val="en-US"/>
        </w:rPr>
      </w:pPr>
    </w:p>
    <w:p w:rsidR="00237661" w:rsidRDefault="00237661" w:rsidP="008D7E3A">
      <w:pPr>
        <w:rPr>
          <w:rFonts w:eastAsiaTheme="minorEastAsia"/>
          <w:noProof/>
          <w:lang w:val="en-US"/>
        </w:rPr>
      </w:pPr>
    </w:p>
    <w:p w:rsidR="00237661" w:rsidRDefault="00237661" w:rsidP="008D7E3A">
      <w:pPr>
        <w:rPr>
          <w:rFonts w:eastAsiaTheme="minorEastAsia"/>
          <w:noProof/>
          <w:lang w:val="en-US"/>
        </w:rPr>
      </w:pPr>
    </w:p>
    <w:p w:rsidR="00237661" w:rsidRDefault="00237661" w:rsidP="008D7E3A">
      <w:pPr>
        <w:rPr>
          <w:rFonts w:eastAsiaTheme="minorEastAsia"/>
          <w:noProof/>
          <w:lang w:val="en-US"/>
        </w:rPr>
      </w:pPr>
    </w:p>
    <w:p w:rsidR="00237661" w:rsidRDefault="00237661" w:rsidP="008D7E3A">
      <w:pPr>
        <w:rPr>
          <w:rFonts w:eastAsiaTheme="minorEastAsia"/>
          <w:noProof/>
          <w:lang w:val="en-US"/>
        </w:rPr>
      </w:pPr>
    </w:p>
    <w:p w:rsidR="00237661" w:rsidRDefault="00237661" w:rsidP="008D7E3A">
      <w:pPr>
        <w:rPr>
          <w:rFonts w:eastAsiaTheme="minorEastAsia"/>
          <w:noProof/>
          <w:lang w:val="en-US"/>
        </w:rPr>
      </w:pPr>
    </w:p>
    <w:p w:rsidR="00237661" w:rsidRDefault="00237661" w:rsidP="008D7E3A">
      <w:pPr>
        <w:rPr>
          <w:rFonts w:eastAsiaTheme="minorEastAsia"/>
          <w:noProof/>
          <w:lang w:val="en-US"/>
        </w:rPr>
      </w:pPr>
    </w:p>
    <w:p w:rsidR="00237661" w:rsidRDefault="00237661" w:rsidP="008D7E3A">
      <w:pPr>
        <w:rPr>
          <w:rFonts w:eastAsiaTheme="minorEastAsia"/>
          <w:noProof/>
          <w:lang w:val="en-US"/>
        </w:rPr>
      </w:pPr>
    </w:p>
    <w:p w:rsidR="001D172E" w:rsidRDefault="001D172E" w:rsidP="008D7E3A">
      <w:pPr>
        <w:rPr>
          <w:rFonts w:ascii="Times New Roman" w:hAnsi="Times New Roman" w:cs="Times New Roman"/>
          <w:sz w:val="24"/>
          <w:szCs w:val="24"/>
        </w:rPr>
      </w:pPr>
    </w:p>
    <w:p w:rsidR="00854186" w:rsidRDefault="00854186" w:rsidP="008D7E3A">
      <w:pPr>
        <w:rPr>
          <w:rFonts w:ascii="Times New Roman" w:hAnsi="Times New Roman" w:cs="Times New Roman"/>
          <w:sz w:val="24"/>
          <w:szCs w:val="24"/>
        </w:rPr>
      </w:pPr>
    </w:p>
    <w:p w:rsidR="00380DFD" w:rsidRPr="00C752F0" w:rsidRDefault="00380DFD" w:rsidP="009E7C27">
      <w:pPr>
        <w:rPr>
          <w:rFonts w:ascii="Times New Roman" w:hAnsi="Times New Roman" w:cs="Times New Roman"/>
        </w:rPr>
      </w:pPr>
      <w:bookmarkStart w:id="11" w:name="_Toc111675266"/>
      <w:bookmarkStart w:id="12" w:name="_Toc111675376"/>
    </w:p>
    <w:p w:rsidR="00200335" w:rsidRDefault="00200335" w:rsidP="009E7C27">
      <w:pPr>
        <w:pStyle w:val="Heading1"/>
        <w:rPr>
          <w:rFonts w:ascii="Times New Roman" w:hAnsi="Times New Roman" w:cs="Times New Roman"/>
          <w:b/>
          <w:color w:val="auto"/>
        </w:rPr>
      </w:pPr>
      <w:bookmarkStart w:id="13" w:name="_Toc124018173"/>
      <w:bookmarkStart w:id="14" w:name="_Toc124018207"/>
      <w:bookmarkStart w:id="15" w:name="_Toc124414190"/>
      <w:bookmarkStart w:id="16" w:name="_Toc124847446"/>
      <w:bookmarkStart w:id="17" w:name="_Toc188274092"/>
      <w:bookmarkStart w:id="18" w:name="_Toc188275228"/>
      <w:bookmarkStart w:id="19" w:name="_Toc188275758"/>
      <w:bookmarkStart w:id="20" w:name="_Toc218599857"/>
      <w:r w:rsidRPr="00C752F0">
        <w:rPr>
          <w:rFonts w:ascii="Times New Roman" w:hAnsi="Times New Roman" w:cs="Times New Roman"/>
          <w:b/>
          <w:color w:val="auto"/>
        </w:rPr>
        <w:lastRenderedPageBreak/>
        <w:t>Hyrje</w:t>
      </w:r>
      <w:bookmarkEnd w:id="11"/>
      <w:bookmarkEnd w:id="12"/>
      <w:bookmarkEnd w:id="13"/>
      <w:bookmarkEnd w:id="14"/>
      <w:bookmarkEnd w:id="15"/>
      <w:bookmarkEnd w:id="16"/>
      <w:bookmarkEnd w:id="17"/>
      <w:bookmarkEnd w:id="18"/>
      <w:bookmarkEnd w:id="19"/>
      <w:bookmarkEnd w:id="20"/>
    </w:p>
    <w:p w:rsidR="007A4D0A" w:rsidRPr="007A4D0A" w:rsidRDefault="007A4D0A" w:rsidP="007A4D0A"/>
    <w:p w:rsidR="0099414B" w:rsidRPr="00C752F0" w:rsidRDefault="0099414B" w:rsidP="0099414B">
      <w:pPr>
        <w:spacing w:after="120" w:line="240" w:lineRule="auto"/>
        <w:ind w:left="720"/>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 xml:space="preserve">Qëllimi i këtij raporti është që të njoftojë Kryetarin, Bordin e drejtorëve, Komitetin për Politikë dhe Financa si dhe Kuvendin Komunal, për realizimin e buxhetit komunal përfshirë buxhetin e secilës Drejtori – Program buxhetor, duke filluar prej programeve të Administratës së përgjithshme, Shëndetësisë primare, Arsim dhe Shkencë për periudhën Janar – </w:t>
      </w:r>
      <w:r w:rsidR="005C3D42" w:rsidRPr="00C752F0">
        <w:rPr>
          <w:rFonts w:ascii="Times New Roman" w:eastAsia="Times New Roman" w:hAnsi="Times New Roman" w:cs="Times New Roman"/>
          <w:bCs/>
          <w:sz w:val="24"/>
          <w:szCs w:val="24"/>
        </w:rPr>
        <w:t>Dhjetor</w:t>
      </w:r>
      <w:r w:rsidRPr="00C752F0">
        <w:rPr>
          <w:rFonts w:ascii="Times New Roman" w:eastAsia="Times New Roman" w:hAnsi="Times New Roman" w:cs="Times New Roman"/>
          <w:bCs/>
          <w:sz w:val="24"/>
          <w:szCs w:val="24"/>
        </w:rPr>
        <w:t xml:space="preserve"> 2024</w:t>
      </w:r>
      <w:r w:rsidRPr="00C752F0">
        <w:rPr>
          <w:rFonts w:ascii="Times New Roman" w:eastAsia="Times New Roman" w:hAnsi="Times New Roman" w:cs="Times New Roman"/>
          <w:sz w:val="24"/>
          <w:szCs w:val="24"/>
        </w:rPr>
        <w:t xml:space="preserve">, duke përfshirë kategoritë ekonomike të paga &amp; mëditje, mallra dhe shërbime, shpenzime komunale, subvencione  dhe  investime kapitale. </w:t>
      </w:r>
    </w:p>
    <w:p w:rsidR="0099414B" w:rsidRPr="00C752F0" w:rsidRDefault="0099414B" w:rsidP="0099414B">
      <w:pPr>
        <w:spacing w:after="120" w:line="240" w:lineRule="auto"/>
        <w:ind w:left="720"/>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Realizimin i të hyrave komunale-</w:t>
      </w:r>
      <w:proofErr w:type="spellStart"/>
      <w:r w:rsidRPr="00C752F0">
        <w:rPr>
          <w:rFonts w:ascii="Times New Roman" w:eastAsia="Times New Roman" w:hAnsi="Times New Roman" w:cs="Times New Roman"/>
          <w:sz w:val="24"/>
          <w:szCs w:val="24"/>
        </w:rPr>
        <w:t>vetanake</w:t>
      </w:r>
      <w:proofErr w:type="spellEnd"/>
      <w:r w:rsidRPr="00C752F0">
        <w:rPr>
          <w:rFonts w:ascii="Times New Roman" w:eastAsia="Times New Roman" w:hAnsi="Times New Roman" w:cs="Times New Roman"/>
          <w:sz w:val="24"/>
          <w:szCs w:val="24"/>
        </w:rPr>
        <w:t xml:space="preserve"> dhe strukturën e tyre sipas burimeve të tyre, në mënyre analitike, të hyrat nga gjobat e trafikut dhe të gjykatave si dhe krahasimi i tyre në rapo</w:t>
      </w:r>
      <w:r w:rsidR="005C3D42" w:rsidRPr="00C752F0">
        <w:rPr>
          <w:rFonts w:ascii="Times New Roman" w:eastAsia="Times New Roman" w:hAnsi="Times New Roman" w:cs="Times New Roman"/>
          <w:sz w:val="24"/>
          <w:szCs w:val="24"/>
        </w:rPr>
        <w:t>rt me te njëjtën periudhë Janar - Dhjetor</w:t>
      </w:r>
      <w:r w:rsidR="00412A1F" w:rsidRPr="00C752F0">
        <w:rPr>
          <w:rFonts w:ascii="Times New Roman" w:eastAsia="Times New Roman" w:hAnsi="Times New Roman" w:cs="Times New Roman"/>
          <w:sz w:val="24"/>
          <w:szCs w:val="24"/>
        </w:rPr>
        <w:t xml:space="preserve"> të vitit 2025</w:t>
      </w:r>
      <w:r w:rsidR="00AF0E71" w:rsidRPr="00C752F0">
        <w:rPr>
          <w:rFonts w:ascii="Times New Roman" w:eastAsia="Times New Roman" w:hAnsi="Times New Roman" w:cs="Times New Roman"/>
          <w:sz w:val="24"/>
          <w:szCs w:val="24"/>
        </w:rPr>
        <w:t>.</w:t>
      </w:r>
    </w:p>
    <w:p w:rsidR="0099414B" w:rsidRPr="00C752F0" w:rsidRDefault="0099414B" w:rsidP="0099414B">
      <w:pPr>
        <w:spacing w:after="120" w:line="240" w:lineRule="auto"/>
        <w:ind w:left="720"/>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Buxheti i Komunës për</w:t>
      </w:r>
      <w:r w:rsidR="00412A1F" w:rsidRPr="00C752F0">
        <w:rPr>
          <w:rFonts w:ascii="Times New Roman" w:eastAsia="Times New Roman" w:hAnsi="Times New Roman" w:cs="Times New Roman"/>
          <w:sz w:val="24"/>
          <w:szCs w:val="24"/>
        </w:rPr>
        <w:t xml:space="preserve"> vitin 2025</w:t>
      </w:r>
      <w:r w:rsidRPr="00C752F0">
        <w:rPr>
          <w:rFonts w:ascii="Times New Roman" w:eastAsia="Times New Roman" w:hAnsi="Times New Roman" w:cs="Times New Roman"/>
          <w:sz w:val="24"/>
          <w:szCs w:val="24"/>
        </w:rPr>
        <w:t xml:space="preserve">, nënkupton Buxhetin e aprovuar nga Ministria e Financës, respektivisht Buxhetin e Konsoliduar </w:t>
      </w:r>
      <w:r w:rsidR="00412A1F" w:rsidRPr="00C752F0">
        <w:rPr>
          <w:rFonts w:ascii="Times New Roman" w:eastAsia="Times New Roman" w:hAnsi="Times New Roman" w:cs="Times New Roman"/>
          <w:sz w:val="24"/>
          <w:szCs w:val="24"/>
        </w:rPr>
        <w:t>të Kosovës për vitin 2025</w:t>
      </w:r>
      <w:r w:rsidR="00AF0E71" w:rsidRPr="00C752F0">
        <w:rPr>
          <w:rFonts w:ascii="Times New Roman" w:eastAsia="Times New Roman" w:hAnsi="Times New Roman" w:cs="Times New Roman"/>
          <w:sz w:val="24"/>
          <w:szCs w:val="24"/>
        </w:rPr>
        <w:t>, për K</w:t>
      </w:r>
      <w:r w:rsidRPr="00C752F0">
        <w:rPr>
          <w:rFonts w:ascii="Times New Roman" w:eastAsia="Times New Roman" w:hAnsi="Times New Roman" w:cs="Times New Roman"/>
          <w:sz w:val="24"/>
          <w:szCs w:val="24"/>
        </w:rPr>
        <w:t xml:space="preserve">omunën e Deçanit, të aprovuar paraprakisht edhe nga Kuvendi Komunal dhe organet e tij. </w:t>
      </w:r>
    </w:p>
    <w:p w:rsidR="0099414B" w:rsidRPr="00C752F0" w:rsidRDefault="0099414B" w:rsidP="0099414B">
      <w:pPr>
        <w:spacing w:after="120" w:line="240" w:lineRule="auto"/>
        <w:ind w:left="720"/>
        <w:jc w:val="both"/>
        <w:rPr>
          <w:rFonts w:ascii="Times New Roman" w:eastAsia="Times New Roman" w:hAnsi="Times New Roman" w:cs="Times New Roman"/>
          <w:sz w:val="24"/>
          <w:szCs w:val="24"/>
        </w:rPr>
      </w:pPr>
    </w:p>
    <w:p w:rsidR="0099414B" w:rsidRPr="00C752F0" w:rsidRDefault="0099414B" w:rsidP="0099414B">
      <w:pPr>
        <w:numPr>
          <w:ilvl w:val="0"/>
          <w:numId w:val="32"/>
        </w:numPr>
        <w:spacing w:after="120" w:line="240" w:lineRule="auto"/>
        <w:contextualSpacing/>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Prezantimi i të dhënave në këtë mënyrë mundëson:</w:t>
      </w:r>
    </w:p>
    <w:p w:rsidR="0099414B" w:rsidRPr="00C752F0" w:rsidRDefault="0099414B" w:rsidP="0099414B">
      <w:pPr>
        <w:numPr>
          <w:ilvl w:val="0"/>
          <w:numId w:val="31"/>
        </w:numPr>
        <w:spacing w:after="0" w:line="240" w:lineRule="auto"/>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Prezantimin e raportit financiar në formë transparente dhe të tërësishme,</w:t>
      </w:r>
    </w:p>
    <w:p w:rsidR="0099414B" w:rsidRPr="00C752F0" w:rsidRDefault="0099414B" w:rsidP="0099414B">
      <w:pPr>
        <w:numPr>
          <w:ilvl w:val="0"/>
          <w:numId w:val="31"/>
        </w:numPr>
        <w:spacing w:after="0" w:line="240" w:lineRule="auto"/>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Shikimin e realizimit, respektivisht shpenzimin e mjeteve sipas kategorive (pagave &amp; mëditjet, mallra dhe shërbimet, shpenzime komunale, subvencione dhe investimet kapitale.</w:t>
      </w:r>
    </w:p>
    <w:p w:rsidR="0099414B" w:rsidRPr="00C752F0" w:rsidRDefault="0099414B" w:rsidP="0099414B">
      <w:pPr>
        <w:numPr>
          <w:ilvl w:val="0"/>
          <w:numId w:val="31"/>
        </w:numPr>
        <w:spacing w:after="0" w:line="240" w:lineRule="auto"/>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 xml:space="preserve">Mundësin e krahasimit në mes fondit të planifikuar, të </w:t>
      </w:r>
      <w:proofErr w:type="spellStart"/>
      <w:r w:rsidRPr="00C752F0">
        <w:rPr>
          <w:rFonts w:ascii="Times New Roman" w:eastAsia="Times New Roman" w:hAnsi="Times New Roman" w:cs="Times New Roman"/>
          <w:sz w:val="24"/>
          <w:szCs w:val="24"/>
        </w:rPr>
        <w:t>alokuar</w:t>
      </w:r>
      <w:proofErr w:type="spellEnd"/>
      <w:r w:rsidRPr="00C752F0">
        <w:rPr>
          <w:rFonts w:ascii="Times New Roman" w:eastAsia="Times New Roman" w:hAnsi="Times New Roman" w:cs="Times New Roman"/>
          <w:sz w:val="24"/>
          <w:szCs w:val="24"/>
        </w:rPr>
        <w:t xml:space="preserve"> dhe të shpenzuar sipas kategorive, se a është tejkaluar-shfrytëzuar apo nuk është shfrytëzuar fondi i planifikuar, </w:t>
      </w:r>
      <w:proofErr w:type="spellStart"/>
      <w:r w:rsidRPr="00C752F0">
        <w:rPr>
          <w:rFonts w:ascii="Times New Roman" w:eastAsia="Times New Roman" w:hAnsi="Times New Roman" w:cs="Times New Roman"/>
          <w:sz w:val="24"/>
          <w:szCs w:val="24"/>
        </w:rPr>
        <w:t>alokuar</w:t>
      </w:r>
      <w:proofErr w:type="spellEnd"/>
      <w:r w:rsidRPr="00C752F0">
        <w:rPr>
          <w:rFonts w:ascii="Times New Roman" w:eastAsia="Times New Roman" w:hAnsi="Times New Roman" w:cs="Times New Roman"/>
          <w:sz w:val="24"/>
          <w:szCs w:val="24"/>
        </w:rPr>
        <w:t>,</w:t>
      </w:r>
    </w:p>
    <w:p w:rsidR="0099414B" w:rsidRPr="00C752F0" w:rsidRDefault="0099414B" w:rsidP="0099414B">
      <w:pPr>
        <w:spacing w:after="0" w:line="240" w:lineRule="auto"/>
        <w:jc w:val="both"/>
        <w:rPr>
          <w:rFonts w:ascii="Times New Roman" w:eastAsia="Times New Roman" w:hAnsi="Times New Roman" w:cs="Times New Roman"/>
          <w:sz w:val="24"/>
          <w:szCs w:val="24"/>
        </w:rPr>
      </w:pPr>
    </w:p>
    <w:p w:rsidR="0099414B" w:rsidRPr="00C752F0" w:rsidRDefault="0099414B" w:rsidP="0099414B">
      <w:pPr>
        <w:spacing w:after="0" w:line="240" w:lineRule="auto"/>
        <w:ind w:firstLine="720"/>
        <w:jc w:val="both"/>
        <w:rPr>
          <w:rFonts w:ascii="Times New Roman" w:eastAsia="Times New Roman" w:hAnsi="Times New Roman" w:cs="Times New Roman"/>
          <w:sz w:val="24"/>
          <w:szCs w:val="24"/>
        </w:rPr>
      </w:pPr>
    </w:p>
    <w:p w:rsidR="0099414B" w:rsidRPr="00C752F0" w:rsidRDefault="0099414B" w:rsidP="0099414B">
      <w:pPr>
        <w:numPr>
          <w:ilvl w:val="0"/>
          <w:numId w:val="30"/>
        </w:numPr>
        <w:spacing w:after="120" w:line="240" w:lineRule="auto"/>
        <w:ind w:left="1434" w:hanging="357"/>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Në këtë mënyrë nga aspekti financiar është e arsyeshme të paraqitet:</w:t>
      </w:r>
    </w:p>
    <w:p w:rsidR="0099414B" w:rsidRPr="00C752F0" w:rsidRDefault="0099414B" w:rsidP="0099414B">
      <w:pPr>
        <w:numPr>
          <w:ilvl w:val="0"/>
          <w:numId w:val="31"/>
        </w:numPr>
        <w:spacing w:after="0" w:line="240" w:lineRule="auto"/>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 xml:space="preserve">Realizimi i të hyrave </w:t>
      </w:r>
      <w:proofErr w:type="spellStart"/>
      <w:r w:rsidRPr="00C752F0">
        <w:rPr>
          <w:rFonts w:ascii="Times New Roman" w:eastAsia="Times New Roman" w:hAnsi="Times New Roman" w:cs="Times New Roman"/>
          <w:sz w:val="24"/>
          <w:szCs w:val="24"/>
        </w:rPr>
        <w:t>vetanake</w:t>
      </w:r>
      <w:proofErr w:type="spellEnd"/>
      <w:r w:rsidRPr="00C752F0">
        <w:rPr>
          <w:rFonts w:ascii="Times New Roman" w:eastAsia="Times New Roman" w:hAnsi="Times New Roman" w:cs="Times New Roman"/>
          <w:sz w:val="24"/>
          <w:szCs w:val="24"/>
        </w:rPr>
        <w:t>-komunale sipas burimeve,</w:t>
      </w:r>
    </w:p>
    <w:p w:rsidR="0099414B" w:rsidRPr="00C752F0" w:rsidRDefault="0099414B" w:rsidP="0099414B">
      <w:pPr>
        <w:numPr>
          <w:ilvl w:val="0"/>
          <w:numId w:val="31"/>
        </w:numPr>
        <w:spacing w:after="0" w:line="240" w:lineRule="auto"/>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Shpenzimet e krijuara sipas kategorive buxhetore,</w:t>
      </w:r>
    </w:p>
    <w:p w:rsidR="0099414B" w:rsidRPr="00C752F0" w:rsidRDefault="0099414B" w:rsidP="0099414B">
      <w:pPr>
        <w:spacing w:after="0" w:line="240" w:lineRule="auto"/>
        <w:ind w:left="720" w:firstLine="720"/>
        <w:rPr>
          <w:rFonts w:ascii="Times New Roman" w:eastAsia="Times New Roman" w:hAnsi="Times New Roman" w:cs="Times New Roman"/>
          <w:sz w:val="24"/>
          <w:szCs w:val="24"/>
        </w:rPr>
      </w:pPr>
    </w:p>
    <w:p w:rsidR="0099414B" w:rsidRPr="00C752F0" w:rsidRDefault="0099414B" w:rsidP="0099414B">
      <w:pPr>
        <w:spacing w:after="0" w:line="240" w:lineRule="auto"/>
        <w:ind w:left="720" w:firstLine="720"/>
        <w:rPr>
          <w:rFonts w:ascii="Times New Roman" w:eastAsia="Times New Roman" w:hAnsi="Times New Roman" w:cs="Times New Roman"/>
          <w:sz w:val="24"/>
          <w:szCs w:val="24"/>
        </w:rPr>
      </w:pPr>
    </w:p>
    <w:p w:rsidR="0099414B" w:rsidRPr="00C752F0" w:rsidRDefault="0099414B" w:rsidP="0099414B">
      <w:pPr>
        <w:spacing w:after="0" w:line="240" w:lineRule="auto"/>
        <w:jc w:val="center"/>
        <w:rPr>
          <w:rFonts w:ascii="Times New Roman" w:eastAsia="Times New Roman" w:hAnsi="Times New Roman" w:cs="Times New Roman"/>
          <w:sz w:val="24"/>
          <w:szCs w:val="24"/>
        </w:rPr>
      </w:pPr>
    </w:p>
    <w:p w:rsidR="0099414B" w:rsidRPr="00C752F0" w:rsidRDefault="0099414B" w:rsidP="0099414B">
      <w:pPr>
        <w:spacing w:after="120" w:line="240" w:lineRule="auto"/>
        <w:ind w:left="720"/>
        <w:jc w:val="both"/>
        <w:rPr>
          <w:rFonts w:ascii="Times New Roman" w:eastAsia="Times New Roman" w:hAnsi="Times New Roman" w:cs="Times New Roman"/>
          <w:sz w:val="24"/>
          <w:szCs w:val="24"/>
        </w:rPr>
      </w:pPr>
      <w:r w:rsidRPr="00C752F0">
        <w:rPr>
          <w:rFonts w:ascii="Times New Roman" w:eastAsia="Times New Roman" w:hAnsi="Times New Roman" w:cs="Times New Roman"/>
          <w:sz w:val="24"/>
          <w:szCs w:val="24"/>
        </w:rPr>
        <w:t>Të dhënat e poshtë shënuara, sa i përket shpenzimeve për paga, mallra &amp; shërbime, shërbimeve komunale, subvencioneve, investimeve kapitale si dhe regjistrimi i të hyrave, sipas klasifikimit ekonomik janë të h</w:t>
      </w:r>
      <w:r w:rsidR="00AF0E71" w:rsidRPr="00C752F0">
        <w:rPr>
          <w:rFonts w:ascii="Times New Roman" w:eastAsia="Times New Roman" w:hAnsi="Times New Roman" w:cs="Times New Roman"/>
          <w:sz w:val="24"/>
          <w:szCs w:val="24"/>
        </w:rPr>
        <w:t>armonizuara me Departamentin e T</w:t>
      </w:r>
      <w:r w:rsidRPr="00C752F0">
        <w:rPr>
          <w:rFonts w:ascii="Times New Roman" w:eastAsia="Times New Roman" w:hAnsi="Times New Roman" w:cs="Times New Roman"/>
          <w:sz w:val="24"/>
          <w:szCs w:val="24"/>
        </w:rPr>
        <w:t>hesarit të Ministrisë për Financa dhe raportet që dalin nga SIMFK - Sistemi Informativ i Menaxhimit Financiar të Kosovës.</w:t>
      </w:r>
    </w:p>
    <w:p w:rsidR="0099414B" w:rsidRPr="00C752F0" w:rsidRDefault="0099414B" w:rsidP="0099414B">
      <w:pPr>
        <w:spacing w:after="120" w:line="240" w:lineRule="auto"/>
        <w:ind w:left="720"/>
        <w:jc w:val="both"/>
        <w:rPr>
          <w:rFonts w:ascii="Times New Roman" w:eastAsia="Times New Roman" w:hAnsi="Times New Roman" w:cs="Times New Roman"/>
          <w:sz w:val="24"/>
          <w:szCs w:val="24"/>
        </w:rPr>
      </w:pPr>
    </w:p>
    <w:p w:rsidR="00AF069F" w:rsidRPr="00C752F0" w:rsidRDefault="00AF069F" w:rsidP="00263F43">
      <w:pPr>
        <w:spacing w:line="240" w:lineRule="auto"/>
        <w:rPr>
          <w:rFonts w:ascii="Times New Roman" w:hAnsi="Times New Roman" w:cs="Times New Roman"/>
          <w:sz w:val="24"/>
          <w:szCs w:val="24"/>
        </w:rPr>
      </w:pPr>
    </w:p>
    <w:p w:rsidR="00D75A79" w:rsidRPr="00C752F0" w:rsidRDefault="00D75A79" w:rsidP="00263F43">
      <w:pPr>
        <w:spacing w:line="240" w:lineRule="auto"/>
        <w:rPr>
          <w:rFonts w:ascii="Times New Roman" w:hAnsi="Times New Roman" w:cs="Times New Roman"/>
          <w:sz w:val="24"/>
          <w:szCs w:val="24"/>
        </w:rPr>
      </w:pPr>
    </w:p>
    <w:p w:rsidR="00C752F0" w:rsidRPr="007564DE" w:rsidRDefault="00C752F0" w:rsidP="007564DE">
      <w:pPr>
        <w:pStyle w:val="Heading1"/>
        <w:rPr>
          <w:b/>
          <w:color w:val="auto"/>
        </w:rPr>
      </w:pPr>
      <w:bookmarkStart w:id="21" w:name="_Toc218599858"/>
      <w:r w:rsidRPr="007564DE">
        <w:rPr>
          <w:b/>
          <w:color w:val="auto"/>
        </w:rPr>
        <w:lastRenderedPageBreak/>
        <w:t>1. TË HYRAT VETANAKE</w:t>
      </w:r>
      <w:bookmarkEnd w:id="21"/>
    </w:p>
    <w:p w:rsidR="00C752F0" w:rsidRPr="007564DE" w:rsidRDefault="00C752F0" w:rsidP="007564DE">
      <w:pPr>
        <w:pStyle w:val="Heading2"/>
        <w:rPr>
          <w:b/>
          <w:color w:val="auto"/>
        </w:rPr>
      </w:pPr>
      <w:bookmarkStart w:id="22" w:name="_Toc218599859"/>
      <w:r w:rsidRPr="007564DE">
        <w:rPr>
          <w:b/>
          <w:color w:val="auto"/>
        </w:rPr>
        <w:t xml:space="preserve">1.1. Planifikimi dhe realizimi i të hyrave </w:t>
      </w:r>
      <w:proofErr w:type="spellStart"/>
      <w:r w:rsidRPr="007564DE">
        <w:rPr>
          <w:b/>
          <w:color w:val="auto"/>
        </w:rPr>
        <w:t>vetanake</w:t>
      </w:r>
      <w:proofErr w:type="spellEnd"/>
      <w:r w:rsidRPr="007564DE">
        <w:rPr>
          <w:b/>
          <w:color w:val="auto"/>
        </w:rPr>
        <w:t xml:space="preserve"> komunale</w:t>
      </w:r>
      <w:bookmarkEnd w:id="22"/>
    </w:p>
    <w:p w:rsidR="00C752F0" w:rsidRPr="00C752F0" w:rsidRDefault="00C752F0" w:rsidP="00C752F0">
      <w:pPr>
        <w:pStyle w:val="NormalWeb"/>
        <w:rPr>
          <w:lang w:val="sq-AL"/>
        </w:rPr>
      </w:pPr>
      <w:r w:rsidRPr="00C752F0">
        <w:rPr>
          <w:lang w:val="sq-AL"/>
        </w:rPr>
        <w:t xml:space="preserve">Raporti i mëposhtëm mbulon vitin fiskal </w:t>
      </w:r>
      <w:r w:rsidRPr="00C752F0">
        <w:rPr>
          <w:rStyle w:val="Strong"/>
          <w:lang w:val="sq-AL"/>
        </w:rPr>
        <w:t>2025</w:t>
      </w:r>
      <w:r w:rsidRPr="00C752F0">
        <w:rPr>
          <w:lang w:val="sq-AL"/>
        </w:rPr>
        <w:t xml:space="preserve"> dhe paraqet informacionin e detajuar mbi </w:t>
      </w:r>
      <w:r w:rsidRPr="00C752F0">
        <w:rPr>
          <w:rStyle w:val="Strong"/>
          <w:lang w:val="sq-AL"/>
        </w:rPr>
        <w:t xml:space="preserve">planifikimin dhe realizimin e të hyrave </w:t>
      </w:r>
      <w:proofErr w:type="spellStart"/>
      <w:r w:rsidRPr="00C752F0">
        <w:rPr>
          <w:rStyle w:val="Strong"/>
          <w:lang w:val="sq-AL"/>
        </w:rPr>
        <w:t>vetanake</w:t>
      </w:r>
      <w:proofErr w:type="spellEnd"/>
      <w:r w:rsidRPr="00C752F0">
        <w:rPr>
          <w:lang w:val="sq-AL"/>
        </w:rPr>
        <w:t>, duke përfshirë edhe regjistrimin e mjeteve financiare.</w:t>
      </w:r>
    </w:p>
    <w:p w:rsidR="00C752F0" w:rsidRPr="00C752F0" w:rsidRDefault="00C752F0" w:rsidP="00C752F0">
      <w:pPr>
        <w:pStyle w:val="NormalWeb"/>
        <w:numPr>
          <w:ilvl w:val="0"/>
          <w:numId w:val="42"/>
        </w:numPr>
        <w:rPr>
          <w:lang w:val="sq-AL"/>
        </w:rPr>
      </w:pPr>
      <w:r w:rsidRPr="00C752F0">
        <w:rPr>
          <w:lang w:val="sq-AL"/>
        </w:rPr>
        <w:t xml:space="preserve">Për periudhën </w:t>
      </w:r>
      <w:r w:rsidRPr="00C752F0">
        <w:rPr>
          <w:rStyle w:val="Strong"/>
          <w:lang w:val="sq-AL"/>
        </w:rPr>
        <w:t>janar–dhjetor 2025</w:t>
      </w:r>
      <w:r w:rsidRPr="00C752F0">
        <w:rPr>
          <w:lang w:val="sq-AL"/>
        </w:rPr>
        <w:t xml:space="preserve">, planifikimi i të hyrave </w:t>
      </w:r>
      <w:proofErr w:type="spellStart"/>
      <w:r w:rsidRPr="00C752F0">
        <w:rPr>
          <w:lang w:val="sq-AL"/>
        </w:rPr>
        <w:t>vetanake</w:t>
      </w:r>
      <w:proofErr w:type="spellEnd"/>
      <w:r w:rsidRPr="00C752F0">
        <w:rPr>
          <w:lang w:val="sq-AL"/>
        </w:rPr>
        <w:t xml:space="preserve"> ka qenë </w:t>
      </w:r>
      <w:r w:rsidRPr="00C752F0">
        <w:rPr>
          <w:rStyle w:val="Strong"/>
          <w:lang w:val="sq-AL"/>
        </w:rPr>
        <w:t>900,000.00 €</w:t>
      </w:r>
      <w:r w:rsidRPr="00C752F0">
        <w:rPr>
          <w:lang w:val="sq-AL"/>
        </w:rPr>
        <w:t>.</w:t>
      </w:r>
    </w:p>
    <w:p w:rsidR="00C752F0" w:rsidRPr="00C752F0" w:rsidRDefault="00C752F0" w:rsidP="00C752F0">
      <w:pPr>
        <w:pStyle w:val="NormalWeb"/>
        <w:numPr>
          <w:ilvl w:val="0"/>
          <w:numId w:val="42"/>
        </w:numPr>
        <w:rPr>
          <w:lang w:val="sq-AL"/>
        </w:rPr>
      </w:pPr>
      <w:r w:rsidRPr="00C752F0">
        <w:rPr>
          <w:lang w:val="sq-AL"/>
        </w:rPr>
        <w:t xml:space="preserve">Realizimi deri në </w:t>
      </w:r>
      <w:r w:rsidRPr="00C752F0">
        <w:rPr>
          <w:rStyle w:val="Strong"/>
          <w:lang w:val="sq-AL"/>
        </w:rPr>
        <w:t>nëntor 2025</w:t>
      </w:r>
      <w:r w:rsidRPr="00C752F0">
        <w:rPr>
          <w:lang w:val="sq-AL"/>
        </w:rPr>
        <w:t xml:space="preserve"> ka qenë </w:t>
      </w:r>
      <w:r w:rsidRPr="00C752F0">
        <w:rPr>
          <w:rStyle w:val="Strong"/>
          <w:lang w:val="sq-AL"/>
        </w:rPr>
        <w:t>973,273.27 €</w:t>
      </w:r>
      <w:r w:rsidRPr="00C752F0">
        <w:rPr>
          <w:lang w:val="sq-AL"/>
        </w:rPr>
        <w:t>, që tregon një realizim mbi planin me një diferencë pozitive.</w:t>
      </w:r>
    </w:p>
    <w:p w:rsidR="00C752F0" w:rsidRPr="00C752F0" w:rsidRDefault="00C752F0" w:rsidP="00C752F0">
      <w:pPr>
        <w:pStyle w:val="NormalWeb"/>
        <w:rPr>
          <w:lang w:val="sq-AL"/>
        </w:rPr>
      </w:pPr>
      <w:r w:rsidRPr="00C752F0">
        <w:rPr>
          <w:lang w:val="sq-AL"/>
        </w:rPr>
        <w:t xml:space="preserve">Të hyrat </w:t>
      </w:r>
      <w:proofErr w:type="spellStart"/>
      <w:r w:rsidRPr="00C752F0">
        <w:rPr>
          <w:lang w:val="sq-AL"/>
        </w:rPr>
        <w:t>vetanake</w:t>
      </w:r>
      <w:proofErr w:type="spellEnd"/>
      <w:r w:rsidRPr="00C752F0">
        <w:rPr>
          <w:lang w:val="sq-AL"/>
        </w:rPr>
        <w:t xml:space="preserve"> përfshijnë pagesa të ndryshme, përfshirë:</w:t>
      </w:r>
    </w:p>
    <w:p w:rsidR="00C752F0" w:rsidRPr="00C752F0" w:rsidRDefault="00C752F0" w:rsidP="00C752F0">
      <w:pPr>
        <w:pStyle w:val="NormalWeb"/>
        <w:numPr>
          <w:ilvl w:val="0"/>
          <w:numId w:val="43"/>
        </w:numPr>
        <w:rPr>
          <w:lang w:val="sq-AL"/>
        </w:rPr>
      </w:pPr>
      <w:r w:rsidRPr="00C752F0">
        <w:rPr>
          <w:lang w:val="sq-AL"/>
        </w:rPr>
        <w:t>gjoba nga trafiku dhe gjobat nga gjykata,</w:t>
      </w:r>
    </w:p>
    <w:p w:rsidR="00C752F0" w:rsidRPr="00C752F0" w:rsidRDefault="00C752F0" w:rsidP="00C752F0">
      <w:pPr>
        <w:pStyle w:val="NormalWeb"/>
        <w:numPr>
          <w:ilvl w:val="0"/>
          <w:numId w:val="43"/>
        </w:numPr>
        <w:rPr>
          <w:lang w:val="sq-AL"/>
        </w:rPr>
      </w:pPr>
      <w:r w:rsidRPr="00C752F0">
        <w:rPr>
          <w:lang w:val="sq-AL"/>
        </w:rPr>
        <w:t>tarifa dhe shërbime administrative të komunës,</w:t>
      </w:r>
    </w:p>
    <w:p w:rsidR="00C752F0" w:rsidRPr="00C752F0" w:rsidRDefault="00C752F0" w:rsidP="00C752F0">
      <w:pPr>
        <w:pStyle w:val="NormalWeb"/>
        <w:numPr>
          <w:ilvl w:val="0"/>
          <w:numId w:val="43"/>
        </w:numPr>
        <w:rPr>
          <w:lang w:val="sq-AL"/>
        </w:rPr>
      </w:pPr>
      <w:r w:rsidRPr="00C752F0">
        <w:rPr>
          <w:lang w:val="sq-AL"/>
        </w:rPr>
        <w:t>të tjera të ardhura të parapara nga rregulloret lokale.</w:t>
      </w:r>
    </w:p>
    <w:p w:rsidR="00C752F0" w:rsidRPr="00C752F0" w:rsidRDefault="00C752F0" w:rsidP="00C752F0">
      <w:pPr>
        <w:pStyle w:val="NormalWeb"/>
        <w:rPr>
          <w:lang w:val="sq-AL"/>
        </w:rPr>
      </w:pPr>
      <w:r w:rsidRPr="00C752F0">
        <w:rPr>
          <w:lang w:val="sq-AL"/>
        </w:rPr>
        <w:t>Realizimi i të hyrave është raportuar sipas tremujorëve si më poshtë:</w:t>
      </w:r>
    </w:p>
    <w:p w:rsidR="00C752F0" w:rsidRPr="00C752F0" w:rsidRDefault="00C752F0" w:rsidP="00C752F0">
      <w:pPr>
        <w:pStyle w:val="NormalWeb"/>
        <w:numPr>
          <w:ilvl w:val="0"/>
          <w:numId w:val="44"/>
        </w:numPr>
        <w:rPr>
          <w:lang w:val="sq-AL"/>
        </w:rPr>
      </w:pPr>
      <w:r w:rsidRPr="00C752F0">
        <w:rPr>
          <w:rStyle w:val="Strong"/>
          <w:lang w:val="sq-AL"/>
        </w:rPr>
        <w:t>TM1 (Janar–Mars)</w:t>
      </w:r>
      <w:r w:rsidRPr="00C752F0">
        <w:rPr>
          <w:lang w:val="sq-AL"/>
        </w:rPr>
        <w:t xml:space="preserve"> – tremujori i parë</w:t>
      </w:r>
    </w:p>
    <w:p w:rsidR="00C752F0" w:rsidRPr="00C752F0" w:rsidRDefault="00C752F0" w:rsidP="00C752F0">
      <w:pPr>
        <w:pStyle w:val="NormalWeb"/>
        <w:numPr>
          <w:ilvl w:val="0"/>
          <w:numId w:val="44"/>
        </w:numPr>
        <w:rPr>
          <w:lang w:val="sq-AL"/>
        </w:rPr>
      </w:pPr>
      <w:r w:rsidRPr="00C752F0">
        <w:rPr>
          <w:rStyle w:val="Strong"/>
          <w:lang w:val="sq-AL"/>
        </w:rPr>
        <w:t>TM2 (Prill–Qershor)</w:t>
      </w:r>
      <w:r w:rsidRPr="00C752F0">
        <w:rPr>
          <w:lang w:val="sq-AL"/>
        </w:rPr>
        <w:t xml:space="preserve"> – tremujori i dytë</w:t>
      </w:r>
    </w:p>
    <w:p w:rsidR="00C752F0" w:rsidRPr="00C752F0" w:rsidRDefault="00C752F0" w:rsidP="00C752F0">
      <w:pPr>
        <w:pStyle w:val="NormalWeb"/>
        <w:numPr>
          <w:ilvl w:val="0"/>
          <w:numId w:val="44"/>
        </w:numPr>
        <w:rPr>
          <w:lang w:val="sq-AL"/>
        </w:rPr>
      </w:pPr>
      <w:r w:rsidRPr="00C752F0">
        <w:rPr>
          <w:rStyle w:val="Strong"/>
          <w:lang w:val="sq-AL"/>
        </w:rPr>
        <w:t>TM3 (Korrik–Shtator)</w:t>
      </w:r>
      <w:r w:rsidRPr="00C752F0">
        <w:rPr>
          <w:lang w:val="sq-AL"/>
        </w:rPr>
        <w:t xml:space="preserve"> – tremujori i tretë</w:t>
      </w:r>
    </w:p>
    <w:p w:rsidR="00C752F0" w:rsidRDefault="00C752F0" w:rsidP="00C752F0">
      <w:pPr>
        <w:pStyle w:val="NormalWeb"/>
        <w:numPr>
          <w:ilvl w:val="0"/>
          <w:numId w:val="44"/>
        </w:numPr>
        <w:rPr>
          <w:lang w:val="sq-AL"/>
        </w:rPr>
      </w:pPr>
      <w:r w:rsidRPr="00C752F0">
        <w:rPr>
          <w:rStyle w:val="Strong"/>
          <w:lang w:val="sq-AL"/>
        </w:rPr>
        <w:t>TM4 (Tetor–Dhjetor)</w:t>
      </w:r>
      <w:r w:rsidRPr="00C752F0">
        <w:rPr>
          <w:lang w:val="sq-AL"/>
        </w:rPr>
        <w:t xml:space="preserve"> – nuk është përfshirë ende, pasi raporti nga Thesari nuk është dërguar.</w:t>
      </w:r>
    </w:p>
    <w:p w:rsidR="007564DE" w:rsidRPr="00C752F0" w:rsidRDefault="007564DE" w:rsidP="007564DE">
      <w:pPr>
        <w:pStyle w:val="NormalWeb"/>
        <w:ind w:left="720"/>
        <w:rPr>
          <w:lang w:val="sq-AL"/>
        </w:rPr>
      </w:pPr>
    </w:p>
    <w:p w:rsidR="00E83D3D" w:rsidRDefault="0083180D" w:rsidP="007564DE">
      <w:pPr>
        <w:pStyle w:val="Heading3"/>
        <w:rPr>
          <w:b/>
          <w:color w:val="auto"/>
        </w:rPr>
      </w:pPr>
      <w:bookmarkStart w:id="23" w:name="_Toc218599860"/>
      <w:r>
        <w:rPr>
          <w:b/>
          <w:color w:val="auto"/>
        </w:rPr>
        <w:t xml:space="preserve">1.2. </w:t>
      </w:r>
      <w:r w:rsidR="00C752F0" w:rsidRPr="007564DE">
        <w:rPr>
          <w:b/>
          <w:color w:val="auto"/>
        </w:rPr>
        <w:t>Tabela</w:t>
      </w:r>
      <w:r w:rsidR="003959C1">
        <w:rPr>
          <w:b/>
          <w:color w:val="auto"/>
        </w:rPr>
        <w:t>t</w:t>
      </w:r>
      <w:r w:rsidR="00C752F0" w:rsidRPr="007564DE">
        <w:rPr>
          <w:b/>
          <w:color w:val="auto"/>
        </w:rPr>
        <w:t xml:space="preserve"> e realizimit detaj të </w:t>
      </w:r>
      <w:proofErr w:type="spellStart"/>
      <w:r w:rsidR="00C752F0" w:rsidRPr="007564DE">
        <w:rPr>
          <w:b/>
          <w:color w:val="auto"/>
        </w:rPr>
        <w:t>të</w:t>
      </w:r>
      <w:proofErr w:type="spellEnd"/>
      <w:r w:rsidR="00C752F0" w:rsidRPr="007564DE">
        <w:rPr>
          <w:b/>
          <w:color w:val="auto"/>
        </w:rPr>
        <w:t xml:space="preserve"> hyrave </w:t>
      </w:r>
      <w:proofErr w:type="spellStart"/>
      <w:r w:rsidR="00C752F0" w:rsidRPr="007564DE">
        <w:rPr>
          <w:b/>
          <w:color w:val="auto"/>
        </w:rPr>
        <w:t>vetanake</w:t>
      </w:r>
      <w:bookmarkEnd w:id="23"/>
      <w:proofErr w:type="spellEnd"/>
    </w:p>
    <w:p w:rsidR="007564DE" w:rsidRPr="007564DE" w:rsidRDefault="0083180D" w:rsidP="0083180D">
      <w:pPr>
        <w:pStyle w:val="ListParagraph"/>
        <w:numPr>
          <w:ilvl w:val="0"/>
          <w:numId w:val="46"/>
        </w:numPr>
      </w:pPr>
      <w:r w:rsidRPr="0083180D">
        <w:rPr>
          <w:rFonts w:ascii="Times New Roman" w:hAnsi="Times New Roman" w:cs="Times New Roman"/>
          <w:b/>
          <w:bCs/>
          <w:i/>
          <w:iCs/>
        </w:rPr>
        <w:t xml:space="preserve">Raporti i realizimit te të hyrave financiare për periudhën Janar - </w:t>
      </w:r>
      <w:proofErr w:type="spellStart"/>
      <w:r w:rsidRPr="0083180D">
        <w:rPr>
          <w:rFonts w:ascii="Times New Roman" w:hAnsi="Times New Roman" w:cs="Times New Roman"/>
          <w:b/>
          <w:bCs/>
          <w:i/>
          <w:iCs/>
        </w:rPr>
        <w:t>Nentor</w:t>
      </w:r>
      <w:proofErr w:type="spellEnd"/>
    </w:p>
    <w:tbl>
      <w:tblPr>
        <w:tblpPr w:leftFromText="180" w:rightFromText="180" w:vertAnchor="text" w:horzAnchor="margin" w:tblpY="10"/>
        <w:tblW w:w="10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6"/>
        <w:gridCol w:w="7321"/>
      </w:tblGrid>
      <w:tr w:rsidR="00E83D3D" w:rsidRPr="00C752F0" w:rsidTr="0083180D">
        <w:trPr>
          <w:trHeight w:val="146"/>
        </w:trPr>
        <w:tc>
          <w:tcPr>
            <w:tcW w:w="10117" w:type="dxa"/>
            <w:gridSpan w:val="2"/>
            <w:tcBorders>
              <w:left w:val="single" w:sz="4" w:space="0" w:color="000000"/>
              <w:bottom w:val="single" w:sz="4" w:space="0" w:color="000000"/>
              <w:right w:val="single" w:sz="4" w:space="0" w:color="000000"/>
            </w:tcBorders>
            <w:shd w:val="clear" w:color="auto" w:fill="D5DCE4" w:themeFill="text2" w:themeFillTint="33"/>
          </w:tcPr>
          <w:p w:rsidR="00E83D3D" w:rsidRPr="00C752F0" w:rsidRDefault="00E83D3D" w:rsidP="00E83D3D">
            <w:pPr>
              <w:jc w:val="both"/>
              <w:rPr>
                <w:rFonts w:ascii="Times New Roman" w:hAnsi="Times New Roman" w:cs="Times New Roman"/>
                <w:sz w:val="8"/>
                <w:szCs w:val="8"/>
              </w:rPr>
            </w:pPr>
          </w:p>
          <w:p w:rsidR="00E83D3D" w:rsidRPr="00C752F0" w:rsidRDefault="00E83D3D" w:rsidP="00E83D3D">
            <w:pPr>
              <w:ind w:left="432" w:hanging="432"/>
              <w:jc w:val="center"/>
              <w:rPr>
                <w:rFonts w:ascii="Times New Roman" w:hAnsi="Times New Roman" w:cs="Times New Roman"/>
                <w:b/>
                <w:bCs/>
              </w:rPr>
            </w:pPr>
            <w:r w:rsidRPr="0083180D">
              <w:rPr>
                <w:rFonts w:ascii="Times New Roman" w:hAnsi="Times New Roman" w:cs="Times New Roman"/>
                <w:b/>
                <w:bCs/>
                <w:shd w:val="clear" w:color="auto" w:fill="D5DCE4" w:themeFill="text2" w:themeFillTint="33"/>
              </w:rPr>
              <w:t xml:space="preserve">Te hyrat </w:t>
            </w:r>
            <w:proofErr w:type="spellStart"/>
            <w:r w:rsidRPr="0083180D">
              <w:rPr>
                <w:rFonts w:ascii="Times New Roman" w:hAnsi="Times New Roman" w:cs="Times New Roman"/>
                <w:b/>
                <w:bCs/>
                <w:shd w:val="clear" w:color="auto" w:fill="D5DCE4" w:themeFill="text2" w:themeFillTint="33"/>
              </w:rPr>
              <w:t>vetanake</w:t>
            </w:r>
            <w:proofErr w:type="spellEnd"/>
            <w:r w:rsidRPr="0083180D">
              <w:rPr>
                <w:rFonts w:ascii="Times New Roman" w:hAnsi="Times New Roman" w:cs="Times New Roman"/>
                <w:b/>
                <w:bCs/>
                <w:shd w:val="clear" w:color="auto" w:fill="D5DCE4" w:themeFill="text2" w:themeFillTint="33"/>
              </w:rPr>
              <w:t xml:space="preserve"> në periudha mujore dhe në total për periudhën 1 vjeçare</w:t>
            </w:r>
          </w:p>
        </w:tc>
      </w:tr>
      <w:tr w:rsidR="00E83D3D" w:rsidRPr="00C752F0" w:rsidTr="00C752F0">
        <w:trPr>
          <w:trHeight w:val="67"/>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r w:rsidRPr="00C752F0">
              <w:rPr>
                <w:rFonts w:ascii="Times New Roman" w:eastAsia="Arial" w:hAnsi="Times New Roman" w:cs="Times New Roman"/>
                <w:b/>
                <w:bCs/>
              </w:rPr>
              <w:t>Janar</w:t>
            </w:r>
          </w:p>
        </w:tc>
        <w:tc>
          <w:tcPr>
            <w:tcW w:w="7321" w:type="dxa"/>
            <w:tcBorders>
              <w:left w:val="single" w:sz="4" w:space="0" w:color="000000"/>
              <w:right w:val="single" w:sz="4" w:space="0" w:color="000000"/>
            </w:tcBorders>
            <w:shd w:val="clear" w:color="auto" w:fill="auto"/>
          </w:tcPr>
          <w:p w:rsidR="00E83D3D" w:rsidRPr="00C752F0" w:rsidRDefault="00E83D3D" w:rsidP="00E83D3D">
            <w:pPr>
              <w:tabs>
                <w:tab w:val="left" w:pos="1245"/>
              </w:tabs>
              <w:jc w:val="center"/>
              <w:rPr>
                <w:rFonts w:ascii="Times New Roman" w:eastAsia="Calibri" w:hAnsi="Times New Roman" w:cs="Times New Roman"/>
                <w:b/>
                <w:bCs/>
              </w:rPr>
            </w:pPr>
            <w:r w:rsidRPr="00C752F0">
              <w:rPr>
                <w:rFonts w:ascii="Times New Roman" w:eastAsia="Calibri" w:hAnsi="Times New Roman" w:cs="Times New Roman"/>
                <w:b/>
                <w:bCs/>
              </w:rPr>
              <w:t>33,970.37</w:t>
            </w:r>
          </w:p>
        </w:tc>
      </w:tr>
      <w:tr w:rsidR="00E83D3D" w:rsidRPr="00C752F0" w:rsidTr="00C752F0">
        <w:trPr>
          <w:trHeight w:val="67"/>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r w:rsidRPr="00C752F0">
              <w:rPr>
                <w:rFonts w:ascii="Times New Roman" w:eastAsia="Arial" w:hAnsi="Times New Roman" w:cs="Times New Roman"/>
                <w:b/>
                <w:bCs/>
              </w:rPr>
              <w:t xml:space="preserve">Shkurt </w:t>
            </w:r>
          </w:p>
        </w:tc>
        <w:tc>
          <w:tcPr>
            <w:tcW w:w="7321"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Calibri" w:hAnsi="Times New Roman" w:cs="Times New Roman"/>
                <w:b/>
                <w:bCs/>
              </w:rPr>
            </w:pPr>
            <w:r w:rsidRPr="00C752F0">
              <w:rPr>
                <w:rFonts w:ascii="Times New Roman" w:eastAsia="Calibri" w:hAnsi="Times New Roman" w:cs="Times New Roman"/>
                <w:b/>
                <w:bCs/>
              </w:rPr>
              <w:t>42,021.83</w:t>
            </w:r>
          </w:p>
        </w:tc>
      </w:tr>
      <w:tr w:rsidR="00E83D3D" w:rsidRPr="00C752F0" w:rsidTr="00C752F0">
        <w:trPr>
          <w:trHeight w:val="67"/>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r w:rsidRPr="00C752F0">
              <w:rPr>
                <w:rFonts w:ascii="Times New Roman" w:eastAsia="Arial" w:hAnsi="Times New Roman" w:cs="Times New Roman"/>
                <w:b/>
                <w:bCs/>
              </w:rPr>
              <w:t xml:space="preserve">Mars </w:t>
            </w:r>
          </w:p>
        </w:tc>
        <w:tc>
          <w:tcPr>
            <w:tcW w:w="7321"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Calibri" w:hAnsi="Times New Roman" w:cs="Times New Roman"/>
                <w:b/>
                <w:bCs/>
              </w:rPr>
            </w:pPr>
            <w:r w:rsidRPr="00C752F0">
              <w:rPr>
                <w:rFonts w:ascii="Times New Roman" w:eastAsia="Calibri" w:hAnsi="Times New Roman" w:cs="Times New Roman"/>
                <w:b/>
                <w:bCs/>
              </w:rPr>
              <w:t>73,838.44</w:t>
            </w:r>
          </w:p>
        </w:tc>
      </w:tr>
      <w:tr w:rsidR="00E83D3D" w:rsidRPr="00C752F0" w:rsidTr="00C752F0">
        <w:trPr>
          <w:trHeight w:val="62"/>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r w:rsidRPr="00C752F0">
              <w:rPr>
                <w:rFonts w:ascii="Times New Roman" w:eastAsia="Arial" w:hAnsi="Times New Roman" w:cs="Times New Roman"/>
                <w:b/>
                <w:bCs/>
              </w:rPr>
              <w:t xml:space="preserve">Prill </w:t>
            </w:r>
          </w:p>
        </w:tc>
        <w:tc>
          <w:tcPr>
            <w:tcW w:w="7321"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Calibri" w:hAnsi="Times New Roman" w:cs="Times New Roman"/>
                <w:b/>
                <w:bCs/>
              </w:rPr>
            </w:pPr>
            <w:r w:rsidRPr="00C752F0">
              <w:rPr>
                <w:rFonts w:ascii="Times New Roman" w:eastAsia="Calibri" w:hAnsi="Times New Roman" w:cs="Times New Roman"/>
                <w:b/>
                <w:bCs/>
              </w:rPr>
              <w:t>82,311.99</w:t>
            </w:r>
          </w:p>
        </w:tc>
      </w:tr>
      <w:tr w:rsidR="00E83D3D" w:rsidRPr="00C752F0" w:rsidTr="00C752F0">
        <w:trPr>
          <w:trHeight w:val="262"/>
        </w:trPr>
        <w:tc>
          <w:tcPr>
            <w:tcW w:w="2796" w:type="dxa"/>
            <w:tcBorders>
              <w:left w:val="single" w:sz="4" w:space="0" w:color="000000"/>
              <w:right w:val="single" w:sz="4" w:space="0" w:color="000000"/>
            </w:tcBorders>
            <w:shd w:val="clear" w:color="auto" w:fill="auto"/>
          </w:tcPr>
          <w:p w:rsidR="00E83D3D" w:rsidRPr="00C752F0" w:rsidRDefault="00E83D3D" w:rsidP="00E83D3D">
            <w:pPr>
              <w:pStyle w:val="Title"/>
              <w:rPr>
                <w:rFonts w:eastAsia="Arial"/>
                <w:sz w:val="22"/>
                <w:szCs w:val="22"/>
              </w:rPr>
            </w:pPr>
            <w:r w:rsidRPr="00C752F0">
              <w:rPr>
                <w:rFonts w:eastAsia="Arial"/>
                <w:sz w:val="22"/>
                <w:szCs w:val="22"/>
              </w:rPr>
              <w:t xml:space="preserve">Maj </w:t>
            </w:r>
          </w:p>
        </w:tc>
        <w:tc>
          <w:tcPr>
            <w:tcW w:w="7321" w:type="dxa"/>
            <w:tcBorders>
              <w:left w:val="single" w:sz="4" w:space="0" w:color="000000"/>
              <w:right w:val="single" w:sz="4" w:space="0" w:color="000000"/>
            </w:tcBorders>
            <w:shd w:val="clear" w:color="auto" w:fill="auto"/>
          </w:tcPr>
          <w:p w:rsidR="00E83D3D" w:rsidRPr="00C752F0" w:rsidRDefault="00E83D3D" w:rsidP="00E83D3D">
            <w:pPr>
              <w:pStyle w:val="Title"/>
              <w:rPr>
                <w:rFonts w:eastAsia="Calibri"/>
                <w:sz w:val="22"/>
                <w:szCs w:val="22"/>
              </w:rPr>
            </w:pPr>
            <w:r w:rsidRPr="00C752F0">
              <w:rPr>
                <w:rFonts w:eastAsia="Calibri"/>
                <w:sz w:val="22"/>
                <w:szCs w:val="22"/>
              </w:rPr>
              <w:t>86,453.87</w:t>
            </w:r>
          </w:p>
        </w:tc>
      </w:tr>
      <w:tr w:rsidR="00E83D3D" w:rsidRPr="00C752F0" w:rsidTr="00C752F0">
        <w:trPr>
          <w:trHeight w:val="62"/>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r w:rsidRPr="00C752F0">
              <w:rPr>
                <w:rFonts w:ascii="Times New Roman" w:eastAsia="Arial" w:hAnsi="Times New Roman" w:cs="Times New Roman"/>
                <w:b/>
                <w:bCs/>
              </w:rPr>
              <w:t xml:space="preserve">Qershor </w:t>
            </w:r>
          </w:p>
        </w:tc>
        <w:tc>
          <w:tcPr>
            <w:tcW w:w="7321"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Calibri" w:hAnsi="Times New Roman" w:cs="Times New Roman"/>
                <w:b/>
                <w:bCs/>
              </w:rPr>
            </w:pPr>
            <w:r w:rsidRPr="00C752F0">
              <w:rPr>
                <w:rFonts w:ascii="Times New Roman" w:eastAsia="Calibri" w:hAnsi="Times New Roman" w:cs="Times New Roman"/>
                <w:b/>
                <w:bCs/>
              </w:rPr>
              <w:t>99,525.63</w:t>
            </w:r>
          </w:p>
        </w:tc>
      </w:tr>
      <w:tr w:rsidR="00E83D3D" w:rsidRPr="00C752F0" w:rsidTr="00C752F0">
        <w:trPr>
          <w:trHeight w:val="62"/>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r w:rsidRPr="00C752F0">
              <w:rPr>
                <w:rFonts w:ascii="Times New Roman" w:eastAsia="Arial" w:hAnsi="Times New Roman" w:cs="Times New Roman"/>
                <w:b/>
                <w:bCs/>
              </w:rPr>
              <w:t>Korrik</w:t>
            </w:r>
          </w:p>
        </w:tc>
        <w:tc>
          <w:tcPr>
            <w:tcW w:w="7321"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Calibri" w:hAnsi="Times New Roman" w:cs="Times New Roman"/>
                <w:b/>
                <w:bCs/>
              </w:rPr>
            </w:pPr>
            <w:r w:rsidRPr="00C752F0">
              <w:rPr>
                <w:rFonts w:ascii="Times New Roman" w:eastAsia="Calibri" w:hAnsi="Times New Roman" w:cs="Times New Roman"/>
                <w:b/>
                <w:bCs/>
              </w:rPr>
              <w:t>62,096.28</w:t>
            </w:r>
          </w:p>
        </w:tc>
      </w:tr>
      <w:tr w:rsidR="00E83D3D" w:rsidRPr="00C752F0" w:rsidTr="00C752F0">
        <w:trPr>
          <w:trHeight w:val="62"/>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r w:rsidRPr="00C752F0">
              <w:rPr>
                <w:rFonts w:ascii="Times New Roman" w:eastAsia="Arial" w:hAnsi="Times New Roman" w:cs="Times New Roman"/>
                <w:b/>
                <w:bCs/>
              </w:rPr>
              <w:t>Gusht</w:t>
            </w:r>
          </w:p>
        </w:tc>
        <w:tc>
          <w:tcPr>
            <w:tcW w:w="7321"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Calibri" w:hAnsi="Times New Roman" w:cs="Times New Roman"/>
                <w:b/>
                <w:bCs/>
              </w:rPr>
            </w:pPr>
            <w:r w:rsidRPr="00C752F0">
              <w:rPr>
                <w:rFonts w:ascii="Times New Roman" w:eastAsia="Calibri" w:hAnsi="Times New Roman" w:cs="Times New Roman"/>
                <w:b/>
                <w:bCs/>
              </w:rPr>
              <w:t>121,477.33</w:t>
            </w:r>
          </w:p>
        </w:tc>
      </w:tr>
      <w:tr w:rsidR="00E83D3D" w:rsidRPr="00C752F0" w:rsidTr="00C752F0">
        <w:trPr>
          <w:trHeight w:val="62"/>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r w:rsidRPr="00C752F0">
              <w:rPr>
                <w:rFonts w:ascii="Times New Roman" w:eastAsia="Arial" w:hAnsi="Times New Roman" w:cs="Times New Roman"/>
                <w:b/>
                <w:bCs/>
              </w:rPr>
              <w:t>Shtator</w:t>
            </w:r>
          </w:p>
        </w:tc>
        <w:tc>
          <w:tcPr>
            <w:tcW w:w="7321"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Calibri" w:hAnsi="Times New Roman" w:cs="Times New Roman"/>
                <w:b/>
                <w:bCs/>
              </w:rPr>
            </w:pPr>
            <w:r w:rsidRPr="00C752F0">
              <w:rPr>
                <w:rFonts w:ascii="Times New Roman" w:eastAsia="Calibri" w:hAnsi="Times New Roman" w:cs="Times New Roman"/>
                <w:b/>
                <w:bCs/>
              </w:rPr>
              <w:t>120,465.51</w:t>
            </w:r>
          </w:p>
        </w:tc>
      </w:tr>
      <w:tr w:rsidR="00E83D3D" w:rsidRPr="00C752F0" w:rsidTr="00C752F0">
        <w:trPr>
          <w:trHeight w:val="62"/>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r w:rsidRPr="00C752F0">
              <w:rPr>
                <w:rFonts w:ascii="Times New Roman" w:eastAsia="Arial" w:hAnsi="Times New Roman" w:cs="Times New Roman"/>
                <w:b/>
                <w:bCs/>
              </w:rPr>
              <w:t>Tetor</w:t>
            </w:r>
          </w:p>
        </w:tc>
        <w:tc>
          <w:tcPr>
            <w:tcW w:w="7321"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Calibri" w:hAnsi="Times New Roman" w:cs="Times New Roman"/>
                <w:b/>
                <w:bCs/>
              </w:rPr>
            </w:pPr>
            <w:r w:rsidRPr="00C752F0">
              <w:rPr>
                <w:rFonts w:ascii="Times New Roman" w:eastAsia="Calibri" w:hAnsi="Times New Roman" w:cs="Times New Roman"/>
                <w:b/>
                <w:bCs/>
              </w:rPr>
              <w:t>84,736.46</w:t>
            </w:r>
          </w:p>
        </w:tc>
      </w:tr>
      <w:tr w:rsidR="00E83D3D" w:rsidRPr="00C752F0" w:rsidTr="00C752F0">
        <w:trPr>
          <w:trHeight w:val="62"/>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proofErr w:type="spellStart"/>
            <w:r w:rsidRPr="00C752F0">
              <w:rPr>
                <w:rFonts w:ascii="Times New Roman" w:eastAsia="Arial" w:hAnsi="Times New Roman" w:cs="Times New Roman"/>
                <w:b/>
                <w:bCs/>
              </w:rPr>
              <w:lastRenderedPageBreak/>
              <w:t>Nentor</w:t>
            </w:r>
            <w:proofErr w:type="spellEnd"/>
          </w:p>
        </w:tc>
        <w:tc>
          <w:tcPr>
            <w:tcW w:w="7321"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Calibri" w:hAnsi="Times New Roman" w:cs="Times New Roman"/>
                <w:b/>
                <w:bCs/>
              </w:rPr>
            </w:pPr>
            <w:r w:rsidRPr="00C752F0">
              <w:rPr>
                <w:rFonts w:ascii="Times New Roman" w:eastAsia="Calibri" w:hAnsi="Times New Roman" w:cs="Times New Roman"/>
                <w:b/>
                <w:bCs/>
              </w:rPr>
              <w:t>32,668.56</w:t>
            </w:r>
          </w:p>
        </w:tc>
      </w:tr>
      <w:tr w:rsidR="00E83D3D" w:rsidRPr="00C752F0" w:rsidTr="00C752F0">
        <w:trPr>
          <w:trHeight w:val="62"/>
        </w:trPr>
        <w:tc>
          <w:tcPr>
            <w:tcW w:w="2796" w:type="dxa"/>
            <w:tcBorders>
              <w:left w:val="single" w:sz="4" w:space="0" w:color="000000"/>
              <w:right w:val="single" w:sz="4" w:space="0" w:color="000000"/>
            </w:tcBorders>
            <w:shd w:val="clear" w:color="auto" w:fill="auto"/>
          </w:tcPr>
          <w:p w:rsidR="00E83D3D" w:rsidRPr="00C752F0" w:rsidRDefault="00E83D3D" w:rsidP="00E83D3D">
            <w:pPr>
              <w:jc w:val="center"/>
              <w:rPr>
                <w:rFonts w:ascii="Times New Roman" w:eastAsia="Arial" w:hAnsi="Times New Roman" w:cs="Times New Roman"/>
                <w:b/>
                <w:bCs/>
              </w:rPr>
            </w:pPr>
            <w:r w:rsidRPr="00C752F0">
              <w:rPr>
                <w:rFonts w:ascii="Times New Roman" w:eastAsia="Arial" w:hAnsi="Times New Roman" w:cs="Times New Roman"/>
                <w:b/>
                <w:bCs/>
              </w:rPr>
              <w:t>Dhjetor</w:t>
            </w:r>
          </w:p>
        </w:tc>
        <w:tc>
          <w:tcPr>
            <w:tcW w:w="7321" w:type="dxa"/>
            <w:tcBorders>
              <w:left w:val="single" w:sz="4" w:space="0" w:color="000000"/>
              <w:right w:val="single" w:sz="4" w:space="0" w:color="000000"/>
            </w:tcBorders>
            <w:shd w:val="clear" w:color="auto" w:fill="auto"/>
          </w:tcPr>
          <w:p w:rsidR="00E83D3D" w:rsidRPr="00C752F0" w:rsidRDefault="0083180D" w:rsidP="00E83D3D">
            <w:pPr>
              <w:jc w:val="center"/>
              <w:rPr>
                <w:rFonts w:ascii="Times New Roman" w:eastAsia="Calibri" w:hAnsi="Times New Roman" w:cs="Times New Roman"/>
                <w:b/>
                <w:bCs/>
              </w:rPr>
            </w:pPr>
            <w:r>
              <w:rPr>
                <w:rFonts w:ascii="Times New Roman" w:eastAsia="Calibri" w:hAnsi="Times New Roman" w:cs="Times New Roman"/>
                <w:b/>
                <w:bCs/>
              </w:rPr>
              <w:t>62,212.89</w:t>
            </w:r>
          </w:p>
        </w:tc>
      </w:tr>
      <w:tr w:rsidR="00E83D3D" w:rsidRPr="00C752F0" w:rsidTr="00C752F0">
        <w:trPr>
          <w:cantSplit/>
          <w:trHeight w:val="320"/>
        </w:trPr>
        <w:tc>
          <w:tcPr>
            <w:tcW w:w="2796" w:type="dxa"/>
            <w:tcBorders>
              <w:left w:val="single" w:sz="4" w:space="0" w:color="000000"/>
              <w:right w:val="single" w:sz="4" w:space="0" w:color="000000"/>
            </w:tcBorders>
            <w:shd w:val="clear" w:color="auto" w:fill="auto"/>
          </w:tcPr>
          <w:p w:rsidR="00E83D3D" w:rsidRPr="00C752F0" w:rsidRDefault="00E83D3D" w:rsidP="00E83D3D">
            <w:pPr>
              <w:ind w:left="113" w:right="113"/>
              <w:jc w:val="center"/>
              <w:rPr>
                <w:rFonts w:ascii="Times New Roman" w:eastAsia="Arial" w:hAnsi="Times New Roman" w:cs="Times New Roman"/>
                <w:b/>
                <w:bCs/>
              </w:rPr>
            </w:pPr>
            <w:r w:rsidRPr="00C752F0">
              <w:rPr>
                <w:rFonts w:ascii="Times New Roman" w:eastAsia="Arial" w:hAnsi="Times New Roman" w:cs="Times New Roman"/>
                <w:b/>
                <w:bCs/>
              </w:rPr>
              <w:t>Totali</w:t>
            </w:r>
          </w:p>
        </w:tc>
        <w:tc>
          <w:tcPr>
            <w:tcW w:w="7321" w:type="dxa"/>
            <w:tcBorders>
              <w:left w:val="single" w:sz="4" w:space="0" w:color="000000"/>
              <w:right w:val="single" w:sz="4" w:space="0" w:color="000000"/>
            </w:tcBorders>
            <w:shd w:val="clear" w:color="auto" w:fill="auto"/>
          </w:tcPr>
          <w:p w:rsidR="00E83D3D" w:rsidRPr="00C752F0" w:rsidRDefault="0083180D" w:rsidP="000026DE">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898,683.06</w:t>
            </w:r>
          </w:p>
        </w:tc>
      </w:tr>
    </w:tbl>
    <w:p w:rsidR="00AF069F" w:rsidRPr="00C752F0" w:rsidRDefault="00AF069F" w:rsidP="00263F43">
      <w:pPr>
        <w:spacing w:line="240" w:lineRule="auto"/>
        <w:rPr>
          <w:rFonts w:ascii="Times New Roman" w:hAnsi="Times New Roman" w:cs="Times New Roman"/>
          <w:b/>
          <w:sz w:val="24"/>
          <w:szCs w:val="24"/>
        </w:rPr>
      </w:pPr>
    </w:p>
    <w:p w:rsidR="00E83D3D" w:rsidRPr="0083180D" w:rsidRDefault="0083180D" w:rsidP="0083180D">
      <w:pPr>
        <w:pStyle w:val="ListParagraph"/>
        <w:numPr>
          <w:ilvl w:val="0"/>
          <w:numId w:val="45"/>
        </w:numPr>
        <w:spacing w:line="240" w:lineRule="auto"/>
        <w:rPr>
          <w:rFonts w:ascii="Times New Roman" w:hAnsi="Times New Roman" w:cs="Times New Roman"/>
          <w:b/>
          <w:sz w:val="24"/>
          <w:szCs w:val="24"/>
        </w:rPr>
      </w:pPr>
      <w:r w:rsidRPr="0083180D">
        <w:rPr>
          <w:rFonts w:ascii="Times New Roman" w:hAnsi="Times New Roman" w:cs="Times New Roman"/>
          <w:b/>
          <w:bCs/>
          <w:i/>
          <w:iCs/>
        </w:rPr>
        <w:t xml:space="preserve">Raporti i realizimit te të hyrave financiare nga Gjobat ne trafik nga Policia dhe Gjobat nga gjykatat </w:t>
      </w:r>
      <w:proofErr w:type="spellStart"/>
      <w:r w:rsidRPr="0083180D">
        <w:rPr>
          <w:rFonts w:ascii="Times New Roman" w:hAnsi="Times New Roman" w:cs="Times New Roman"/>
          <w:b/>
          <w:bCs/>
          <w:i/>
          <w:iCs/>
        </w:rPr>
        <w:t>per</w:t>
      </w:r>
      <w:proofErr w:type="spellEnd"/>
      <w:r w:rsidRPr="0083180D">
        <w:rPr>
          <w:rFonts w:ascii="Times New Roman" w:hAnsi="Times New Roman" w:cs="Times New Roman"/>
          <w:b/>
          <w:bCs/>
          <w:i/>
          <w:iCs/>
        </w:rPr>
        <w:t xml:space="preserve"> periudhën Janar - Shtator</w:t>
      </w:r>
    </w:p>
    <w:tbl>
      <w:tblPr>
        <w:tblW w:w="103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1"/>
        <w:gridCol w:w="9"/>
        <w:gridCol w:w="3293"/>
        <w:gridCol w:w="4708"/>
      </w:tblGrid>
      <w:tr w:rsidR="00E83D3D" w:rsidRPr="00C752F0" w:rsidTr="0083180D">
        <w:trPr>
          <w:trHeight w:val="311"/>
        </w:trPr>
        <w:tc>
          <w:tcPr>
            <w:tcW w:w="10341" w:type="dxa"/>
            <w:gridSpan w:val="4"/>
            <w:tcBorders>
              <w:left w:val="single" w:sz="4" w:space="0" w:color="000000"/>
              <w:bottom w:val="single" w:sz="4" w:space="0" w:color="000000"/>
              <w:right w:val="single" w:sz="4" w:space="0" w:color="000000"/>
            </w:tcBorders>
            <w:shd w:val="clear" w:color="auto" w:fill="D5DCE4" w:themeFill="text2" w:themeFillTint="33"/>
          </w:tcPr>
          <w:p w:rsidR="00E83D3D" w:rsidRPr="00C752F0" w:rsidRDefault="00E83D3D" w:rsidP="00F7538E">
            <w:pPr>
              <w:jc w:val="both"/>
              <w:rPr>
                <w:rFonts w:ascii="Times New Roman" w:hAnsi="Times New Roman" w:cs="Times New Roman"/>
                <w:sz w:val="8"/>
                <w:szCs w:val="8"/>
              </w:rPr>
            </w:pPr>
          </w:p>
          <w:p w:rsidR="00E83D3D" w:rsidRPr="00C752F0" w:rsidRDefault="00E83D3D" w:rsidP="00E83D3D">
            <w:pPr>
              <w:ind w:left="432" w:hanging="432"/>
              <w:jc w:val="center"/>
              <w:rPr>
                <w:rFonts w:ascii="Times New Roman" w:hAnsi="Times New Roman" w:cs="Times New Roman"/>
                <w:b/>
                <w:bCs/>
              </w:rPr>
            </w:pPr>
            <w:r w:rsidRPr="00C752F0">
              <w:rPr>
                <w:rFonts w:ascii="Times New Roman" w:hAnsi="Times New Roman" w:cs="Times New Roman"/>
                <w:b/>
                <w:bCs/>
              </w:rPr>
              <w:t xml:space="preserve">Te hyrat </w:t>
            </w:r>
            <w:proofErr w:type="spellStart"/>
            <w:r w:rsidRPr="00C752F0">
              <w:rPr>
                <w:rFonts w:ascii="Times New Roman" w:hAnsi="Times New Roman" w:cs="Times New Roman"/>
                <w:b/>
                <w:bCs/>
              </w:rPr>
              <w:t>vetanake</w:t>
            </w:r>
            <w:proofErr w:type="spellEnd"/>
            <w:r w:rsidRPr="00C752F0">
              <w:rPr>
                <w:rFonts w:ascii="Times New Roman" w:hAnsi="Times New Roman" w:cs="Times New Roman"/>
                <w:b/>
                <w:bCs/>
              </w:rPr>
              <w:t xml:space="preserve"> në periudha mujore dhe në total për periudhën 9 mujore TM1,TM2,TM3</w:t>
            </w:r>
          </w:p>
        </w:tc>
      </w:tr>
      <w:tr w:rsidR="00E83D3D" w:rsidRPr="00C752F0" w:rsidTr="0083180D">
        <w:trPr>
          <w:trHeight w:val="311"/>
        </w:trPr>
        <w:tc>
          <w:tcPr>
            <w:tcW w:w="2340" w:type="dxa"/>
            <w:gridSpan w:val="2"/>
            <w:tcBorders>
              <w:left w:val="single" w:sz="4" w:space="0" w:color="000000"/>
              <w:bottom w:val="single" w:sz="4" w:space="0" w:color="000000"/>
              <w:right w:val="single" w:sz="4" w:space="0" w:color="000000"/>
            </w:tcBorders>
            <w:shd w:val="clear" w:color="auto" w:fill="auto"/>
          </w:tcPr>
          <w:p w:rsidR="00E83D3D" w:rsidRPr="00C752F0" w:rsidRDefault="00E83D3D" w:rsidP="00F7538E">
            <w:pPr>
              <w:rPr>
                <w:rFonts w:ascii="Times New Roman" w:hAnsi="Times New Roman" w:cs="Times New Roman"/>
                <w:b/>
              </w:rPr>
            </w:pPr>
          </w:p>
        </w:tc>
        <w:tc>
          <w:tcPr>
            <w:tcW w:w="3293" w:type="dxa"/>
            <w:tcBorders>
              <w:left w:val="single" w:sz="4" w:space="0" w:color="000000"/>
              <w:bottom w:val="single" w:sz="4" w:space="0" w:color="000000"/>
              <w:right w:val="single" w:sz="4" w:space="0" w:color="000000"/>
            </w:tcBorders>
            <w:shd w:val="clear" w:color="auto" w:fill="auto"/>
          </w:tcPr>
          <w:p w:rsidR="00E83D3D" w:rsidRPr="00C752F0" w:rsidRDefault="00E83D3D" w:rsidP="00F7538E">
            <w:pPr>
              <w:rPr>
                <w:rFonts w:ascii="Times New Roman" w:hAnsi="Times New Roman" w:cs="Times New Roman"/>
                <w:b/>
              </w:rPr>
            </w:pPr>
            <w:r w:rsidRPr="00C752F0">
              <w:rPr>
                <w:rFonts w:ascii="Times New Roman" w:hAnsi="Times New Roman" w:cs="Times New Roman"/>
                <w:b/>
              </w:rPr>
              <w:t>Gjobat nga trafiku policia</w:t>
            </w:r>
          </w:p>
        </w:tc>
        <w:tc>
          <w:tcPr>
            <w:tcW w:w="4708" w:type="dxa"/>
            <w:tcBorders>
              <w:left w:val="single" w:sz="4" w:space="0" w:color="000000"/>
              <w:bottom w:val="single" w:sz="4" w:space="0" w:color="000000"/>
              <w:right w:val="single" w:sz="4" w:space="0" w:color="000000"/>
            </w:tcBorders>
            <w:shd w:val="clear" w:color="auto" w:fill="auto"/>
          </w:tcPr>
          <w:p w:rsidR="00E83D3D" w:rsidRPr="00C752F0" w:rsidRDefault="00E83D3D" w:rsidP="00F7538E">
            <w:pPr>
              <w:rPr>
                <w:rFonts w:ascii="Times New Roman" w:hAnsi="Times New Roman" w:cs="Times New Roman"/>
                <w:b/>
              </w:rPr>
            </w:pPr>
            <w:r w:rsidRPr="00C752F0">
              <w:rPr>
                <w:rFonts w:ascii="Times New Roman" w:hAnsi="Times New Roman" w:cs="Times New Roman"/>
                <w:b/>
              </w:rPr>
              <w:t>Gjobat nga trafiku gjykata</w:t>
            </w:r>
          </w:p>
        </w:tc>
      </w:tr>
      <w:tr w:rsidR="00E83D3D" w:rsidRPr="00C752F0" w:rsidTr="0083180D">
        <w:trPr>
          <w:trHeight w:val="143"/>
        </w:trPr>
        <w:tc>
          <w:tcPr>
            <w:tcW w:w="2331"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Arial" w:hAnsi="Times New Roman" w:cs="Times New Roman"/>
                <w:b/>
                <w:bCs/>
              </w:rPr>
            </w:pPr>
            <w:r w:rsidRPr="00C752F0">
              <w:rPr>
                <w:rFonts w:ascii="Times New Roman" w:eastAsia="Arial" w:hAnsi="Times New Roman" w:cs="Times New Roman"/>
                <w:b/>
                <w:bCs/>
              </w:rPr>
              <w:t>Janar</w:t>
            </w:r>
          </w:p>
        </w:tc>
        <w:tc>
          <w:tcPr>
            <w:tcW w:w="3302" w:type="dxa"/>
            <w:gridSpan w:val="2"/>
            <w:tcBorders>
              <w:left w:val="single" w:sz="4" w:space="0" w:color="000000"/>
              <w:right w:val="single" w:sz="4" w:space="0" w:color="000000"/>
            </w:tcBorders>
            <w:shd w:val="clear" w:color="auto" w:fill="auto"/>
          </w:tcPr>
          <w:p w:rsidR="00E83D3D" w:rsidRPr="00C752F0" w:rsidRDefault="00E83D3D" w:rsidP="00F7538E">
            <w:pPr>
              <w:tabs>
                <w:tab w:val="left" w:pos="1245"/>
              </w:tabs>
              <w:jc w:val="center"/>
              <w:rPr>
                <w:rFonts w:ascii="Times New Roman" w:eastAsia="Calibri" w:hAnsi="Times New Roman" w:cs="Times New Roman"/>
                <w:b/>
                <w:bCs/>
              </w:rPr>
            </w:pPr>
            <w:r w:rsidRPr="00C752F0">
              <w:rPr>
                <w:rFonts w:ascii="Times New Roman" w:eastAsia="Calibri" w:hAnsi="Times New Roman" w:cs="Times New Roman"/>
                <w:b/>
                <w:bCs/>
              </w:rPr>
              <w:t>11,936.00</w:t>
            </w:r>
          </w:p>
        </w:tc>
        <w:tc>
          <w:tcPr>
            <w:tcW w:w="4708" w:type="dxa"/>
            <w:tcBorders>
              <w:left w:val="single" w:sz="4" w:space="0" w:color="000000"/>
              <w:right w:val="single" w:sz="4" w:space="0" w:color="000000"/>
            </w:tcBorders>
            <w:shd w:val="clear" w:color="auto" w:fill="auto"/>
          </w:tcPr>
          <w:p w:rsidR="00E83D3D" w:rsidRPr="00C752F0" w:rsidRDefault="00E83D3D" w:rsidP="00F7538E">
            <w:pPr>
              <w:tabs>
                <w:tab w:val="left" w:pos="1245"/>
              </w:tabs>
              <w:jc w:val="center"/>
              <w:rPr>
                <w:rFonts w:ascii="Times New Roman" w:eastAsia="Calibri" w:hAnsi="Times New Roman" w:cs="Times New Roman"/>
                <w:b/>
                <w:bCs/>
              </w:rPr>
            </w:pPr>
            <w:r w:rsidRPr="00C752F0">
              <w:rPr>
                <w:rFonts w:ascii="Times New Roman" w:eastAsia="Calibri" w:hAnsi="Times New Roman" w:cs="Times New Roman"/>
                <w:b/>
                <w:bCs/>
              </w:rPr>
              <w:t>300.00</w:t>
            </w:r>
          </w:p>
        </w:tc>
      </w:tr>
      <w:tr w:rsidR="00E83D3D" w:rsidRPr="00C752F0" w:rsidTr="0083180D">
        <w:trPr>
          <w:trHeight w:val="143"/>
        </w:trPr>
        <w:tc>
          <w:tcPr>
            <w:tcW w:w="2331"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Arial" w:hAnsi="Times New Roman" w:cs="Times New Roman"/>
                <w:b/>
                <w:bCs/>
              </w:rPr>
            </w:pPr>
            <w:r w:rsidRPr="00C752F0">
              <w:rPr>
                <w:rFonts w:ascii="Times New Roman" w:eastAsia="Arial" w:hAnsi="Times New Roman" w:cs="Times New Roman"/>
                <w:b/>
                <w:bCs/>
              </w:rPr>
              <w:t xml:space="preserve">Shkurt </w:t>
            </w:r>
          </w:p>
        </w:tc>
        <w:tc>
          <w:tcPr>
            <w:tcW w:w="3302" w:type="dxa"/>
            <w:gridSpan w:val="2"/>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14,130.00</w:t>
            </w:r>
          </w:p>
        </w:tc>
        <w:tc>
          <w:tcPr>
            <w:tcW w:w="4708"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1,050.00</w:t>
            </w:r>
          </w:p>
        </w:tc>
      </w:tr>
      <w:tr w:rsidR="00E83D3D" w:rsidRPr="00C752F0" w:rsidTr="0083180D">
        <w:trPr>
          <w:trHeight w:val="143"/>
        </w:trPr>
        <w:tc>
          <w:tcPr>
            <w:tcW w:w="2331"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Arial" w:hAnsi="Times New Roman" w:cs="Times New Roman"/>
                <w:b/>
                <w:bCs/>
              </w:rPr>
            </w:pPr>
            <w:r w:rsidRPr="00C752F0">
              <w:rPr>
                <w:rFonts w:ascii="Times New Roman" w:eastAsia="Arial" w:hAnsi="Times New Roman" w:cs="Times New Roman"/>
                <w:b/>
                <w:bCs/>
              </w:rPr>
              <w:t xml:space="preserve">Mars </w:t>
            </w:r>
          </w:p>
        </w:tc>
        <w:tc>
          <w:tcPr>
            <w:tcW w:w="3302" w:type="dxa"/>
            <w:gridSpan w:val="2"/>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15,005.00</w:t>
            </w:r>
          </w:p>
        </w:tc>
        <w:tc>
          <w:tcPr>
            <w:tcW w:w="4708"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1,810.00</w:t>
            </w:r>
          </w:p>
        </w:tc>
      </w:tr>
      <w:tr w:rsidR="00E83D3D" w:rsidRPr="00C752F0" w:rsidTr="0083180D">
        <w:trPr>
          <w:trHeight w:val="134"/>
        </w:trPr>
        <w:tc>
          <w:tcPr>
            <w:tcW w:w="2331"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Arial" w:hAnsi="Times New Roman" w:cs="Times New Roman"/>
                <w:b/>
                <w:bCs/>
              </w:rPr>
            </w:pPr>
            <w:r w:rsidRPr="00C752F0">
              <w:rPr>
                <w:rFonts w:ascii="Times New Roman" w:eastAsia="Arial" w:hAnsi="Times New Roman" w:cs="Times New Roman"/>
                <w:b/>
                <w:bCs/>
              </w:rPr>
              <w:t>Prill</w:t>
            </w:r>
          </w:p>
        </w:tc>
        <w:tc>
          <w:tcPr>
            <w:tcW w:w="3302" w:type="dxa"/>
            <w:gridSpan w:val="2"/>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13,810.00</w:t>
            </w:r>
          </w:p>
        </w:tc>
        <w:tc>
          <w:tcPr>
            <w:tcW w:w="4708"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600.00</w:t>
            </w:r>
          </w:p>
        </w:tc>
      </w:tr>
      <w:tr w:rsidR="00E83D3D" w:rsidRPr="00C752F0" w:rsidTr="0083180D">
        <w:trPr>
          <w:trHeight w:val="166"/>
        </w:trPr>
        <w:tc>
          <w:tcPr>
            <w:tcW w:w="2331" w:type="dxa"/>
            <w:tcBorders>
              <w:left w:val="single" w:sz="4" w:space="0" w:color="000000"/>
              <w:right w:val="single" w:sz="4" w:space="0" w:color="000000"/>
            </w:tcBorders>
            <w:shd w:val="clear" w:color="auto" w:fill="auto"/>
          </w:tcPr>
          <w:p w:rsidR="00E83D3D" w:rsidRPr="00C752F0" w:rsidRDefault="00E83D3D" w:rsidP="00F7538E">
            <w:pPr>
              <w:pStyle w:val="Title"/>
              <w:rPr>
                <w:sz w:val="28"/>
                <w:szCs w:val="28"/>
              </w:rPr>
            </w:pPr>
            <w:r w:rsidRPr="00C752F0">
              <w:rPr>
                <w:sz w:val="28"/>
                <w:szCs w:val="28"/>
              </w:rPr>
              <w:t>Maj</w:t>
            </w:r>
          </w:p>
        </w:tc>
        <w:tc>
          <w:tcPr>
            <w:tcW w:w="3302" w:type="dxa"/>
            <w:gridSpan w:val="2"/>
            <w:tcBorders>
              <w:left w:val="single" w:sz="4" w:space="0" w:color="000000"/>
              <w:right w:val="single" w:sz="4" w:space="0" w:color="000000"/>
            </w:tcBorders>
            <w:shd w:val="clear" w:color="auto" w:fill="auto"/>
          </w:tcPr>
          <w:p w:rsidR="00E83D3D" w:rsidRPr="00C752F0" w:rsidRDefault="00E83D3D" w:rsidP="00F7538E">
            <w:pPr>
              <w:pStyle w:val="Title"/>
              <w:rPr>
                <w:rFonts w:eastAsia="Calibri"/>
              </w:rPr>
            </w:pPr>
            <w:r w:rsidRPr="00C752F0">
              <w:rPr>
                <w:rFonts w:eastAsia="Calibri"/>
              </w:rPr>
              <w:t>15,500.00</w:t>
            </w:r>
          </w:p>
        </w:tc>
        <w:tc>
          <w:tcPr>
            <w:tcW w:w="4708" w:type="dxa"/>
            <w:tcBorders>
              <w:left w:val="single" w:sz="4" w:space="0" w:color="000000"/>
              <w:right w:val="single" w:sz="4" w:space="0" w:color="000000"/>
            </w:tcBorders>
            <w:shd w:val="clear" w:color="auto" w:fill="auto"/>
          </w:tcPr>
          <w:p w:rsidR="00E83D3D" w:rsidRPr="00C752F0" w:rsidRDefault="00E83D3D" w:rsidP="00F7538E">
            <w:pPr>
              <w:pStyle w:val="Title"/>
              <w:rPr>
                <w:rFonts w:eastAsia="Calibri"/>
              </w:rPr>
            </w:pPr>
            <w:r w:rsidRPr="00C752F0">
              <w:rPr>
                <w:rFonts w:eastAsia="Calibri"/>
              </w:rPr>
              <w:t>2,300.00</w:t>
            </w:r>
          </w:p>
        </w:tc>
      </w:tr>
      <w:tr w:rsidR="00E83D3D" w:rsidRPr="00C752F0" w:rsidTr="0083180D">
        <w:trPr>
          <w:trHeight w:val="134"/>
        </w:trPr>
        <w:tc>
          <w:tcPr>
            <w:tcW w:w="2331"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Arial" w:hAnsi="Times New Roman" w:cs="Times New Roman"/>
                <w:b/>
                <w:bCs/>
              </w:rPr>
            </w:pPr>
            <w:r w:rsidRPr="00C752F0">
              <w:rPr>
                <w:rFonts w:ascii="Times New Roman" w:eastAsia="Arial" w:hAnsi="Times New Roman" w:cs="Times New Roman"/>
                <w:b/>
                <w:bCs/>
              </w:rPr>
              <w:t>Qershor</w:t>
            </w:r>
          </w:p>
        </w:tc>
        <w:tc>
          <w:tcPr>
            <w:tcW w:w="3302" w:type="dxa"/>
            <w:gridSpan w:val="2"/>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11,970.00</w:t>
            </w:r>
          </w:p>
        </w:tc>
        <w:tc>
          <w:tcPr>
            <w:tcW w:w="4708"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1,050.00</w:t>
            </w:r>
          </w:p>
        </w:tc>
      </w:tr>
      <w:tr w:rsidR="00E83D3D" w:rsidRPr="00C752F0" w:rsidTr="0083180D">
        <w:trPr>
          <w:trHeight w:val="134"/>
        </w:trPr>
        <w:tc>
          <w:tcPr>
            <w:tcW w:w="2331"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Arial" w:hAnsi="Times New Roman" w:cs="Times New Roman"/>
                <w:b/>
                <w:bCs/>
              </w:rPr>
            </w:pPr>
            <w:r w:rsidRPr="00C752F0">
              <w:rPr>
                <w:rFonts w:ascii="Times New Roman" w:eastAsia="Arial" w:hAnsi="Times New Roman" w:cs="Times New Roman"/>
                <w:b/>
                <w:bCs/>
              </w:rPr>
              <w:t>Korrik</w:t>
            </w:r>
          </w:p>
        </w:tc>
        <w:tc>
          <w:tcPr>
            <w:tcW w:w="3302" w:type="dxa"/>
            <w:gridSpan w:val="2"/>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14,021.00</w:t>
            </w:r>
          </w:p>
        </w:tc>
        <w:tc>
          <w:tcPr>
            <w:tcW w:w="4708"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820.00</w:t>
            </w:r>
          </w:p>
        </w:tc>
      </w:tr>
      <w:tr w:rsidR="00E83D3D" w:rsidRPr="00C752F0" w:rsidTr="0083180D">
        <w:trPr>
          <w:trHeight w:val="134"/>
        </w:trPr>
        <w:tc>
          <w:tcPr>
            <w:tcW w:w="2331"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Arial" w:hAnsi="Times New Roman" w:cs="Times New Roman"/>
                <w:b/>
                <w:bCs/>
              </w:rPr>
            </w:pPr>
            <w:r w:rsidRPr="00C752F0">
              <w:rPr>
                <w:rFonts w:ascii="Times New Roman" w:eastAsia="Arial" w:hAnsi="Times New Roman" w:cs="Times New Roman"/>
                <w:b/>
                <w:bCs/>
              </w:rPr>
              <w:t>Gusht</w:t>
            </w:r>
          </w:p>
        </w:tc>
        <w:tc>
          <w:tcPr>
            <w:tcW w:w="3302" w:type="dxa"/>
            <w:gridSpan w:val="2"/>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17,075.00</w:t>
            </w:r>
          </w:p>
        </w:tc>
        <w:tc>
          <w:tcPr>
            <w:tcW w:w="4708"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700.00</w:t>
            </w:r>
          </w:p>
        </w:tc>
      </w:tr>
      <w:tr w:rsidR="00E83D3D" w:rsidRPr="00C752F0" w:rsidTr="0083180D">
        <w:trPr>
          <w:trHeight w:val="134"/>
        </w:trPr>
        <w:tc>
          <w:tcPr>
            <w:tcW w:w="2331"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Arial" w:hAnsi="Times New Roman" w:cs="Times New Roman"/>
                <w:b/>
                <w:bCs/>
              </w:rPr>
            </w:pPr>
            <w:r w:rsidRPr="00C752F0">
              <w:rPr>
                <w:rFonts w:ascii="Times New Roman" w:eastAsia="Arial" w:hAnsi="Times New Roman" w:cs="Times New Roman"/>
                <w:b/>
                <w:bCs/>
              </w:rPr>
              <w:t>Shtator</w:t>
            </w:r>
          </w:p>
        </w:tc>
        <w:tc>
          <w:tcPr>
            <w:tcW w:w="3302" w:type="dxa"/>
            <w:gridSpan w:val="2"/>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10,950.00</w:t>
            </w:r>
          </w:p>
        </w:tc>
        <w:tc>
          <w:tcPr>
            <w:tcW w:w="4708" w:type="dxa"/>
            <w:tcBorders>
              <w:left w:val="single" w:sz="4" w:space="0" w:color="000000"/>
              <w:right w:val="single" w:sz="4" w:space="0" w:color="000000"/>
            </w:tcBorders>
            <w:shd w:val="clear" w:color="auto" w:fill="auto"/>
          </w:tcPr>
          <w:p w:rsidR="00E83D3D" w:rsidRPr="00C752F0" w:rsidRDefault="00E83D3D" w:rsidP="00F7538E">
            <w:pPr>
              <w:jc w:val="center"/>
              <w:rPr>
                <w:rFonts w:ascii="Times New Roman" w:eastAsia="Calibri" w:hAnsi="Times New Roman" w:cs="Times New Roman"/>
                <w:b/>
                <w:bCs/>
              </w:rPr>
            </w:pPr>
            <w:r w:rsidRPr="00C752F0">
              <w:rPr>
                <w:rFonts w:ascii="Times New Roman" w:eastAsia="Calibri" w:hAnsi="Times New Roman" w:cs="Times New Roman"/>
                <w:b/>
                <w:bCs/>
              </w:rPr>
              <w:t>830.00</w:t>
            </w:r>
          </w:p>
        </w:tc>
      </w:tr>
      <w:tr w:rsidR="00E83D3D" w:rsidRPr="00C752F0" w:rsidTr="0083180D">
        <w:trPr>
          <w:cantSplit/>
          <w:trHeight w:val="347"/>
        </w:trPr>
        <w:tc>
          <w:tcPr>
            <w:tcW w:w="2331" w:type="dxa"/>
            <w:tcBorders>
              <w:left w:val="single" w:sz="4" w:space="0" w:color="000000"/>
              <w:right w:val="single" w:sz="4" w:space="0" w:color="000000"/>
            </w:tcBorders>
            <w:shd w:val="clear" w:color="auto" w:fill="auto"/>
          </w:tcPr>
          <w:p w:rsidR="00E83D3D" w:rsidRPr="00C752F0" w:rsidRDefault="00E83D3D" w:rsidP="00F7538E">
            <w:pPr>
              <w:ind w:left="113" w:right="113"/>
              <w:jc w:val="center"/>
              <w:rPr>
                <w:rFonts w:ascii="Times New Roman" w:eastAsia="Arial" w:hAnsi="Times New Roman" w:cs="Times New Roman"/>
                <w:b/>
                <w:bCs/>
                <w:sz w:val="28"/>
                <w:szCs w:val="28"/>
              </w:rPr>
            </w:pPr>
            <w:r w:rsidRPr="00C752F0">
              <w:rPr>
                <w:rFonts w:ascii="Times New Roman" w:eastAsia="Arial" w:hAnsi="Times New Roman" w:cs="Times New Roman"/>
                <w:b/>
                <w:bCs/>
                <w:sz w:val="28"/>
                <w:szCs w:val="28"/>
              </w:rPr>
              <w:t>Totali</w:t>
            </w:r>
          </w:p>
        </w:tc>
        <w:tc>
          <w:tcPr>
            <w:tcW w:w="3302" w:type="dxa"/>
            <w:gridSpan w:val="2"/>
            <w:tcBorders>
              <w:left w:val="single" w:sz="4" w:space="0" w:color="000000"/>
              <w:right w:val="single" w:sz="4" w:space="0" w:color="000000"/>
            </w:tcBorders>
            <w:shd w:val="clear" w:color="auto" w:fill="auto"/>
          </w:tcPr>
          <w:p w:rsidR="00E83D3D" w:rsidRPr="00C752F0" w:rsidRDefault="00E83D3D" w:rsidP="00E83D3D">
            <w:pPr>
              <w:rPr>
                <w:rFonts w:ascii="Times New Roman" w:eastAsia="Arial" w:hAnsi="Times New Roman" w:cs="Times New Roman"/>
                <w:b/>
                <w:bCs/>
              </w:rPr>
            </w:pPr>
            <w:r w:rsidRPr="00C752F0">
              <w:rPr>
                <w:rFonts w:ascii="Times New Roman" w:eastAsia="Arial" w:hAnsi="Times New Roman" w:cs="Times New Roman"/>
                <w:b/>
                <w:bCs/>
              </w:rPr>
              <w:t>124,397.00</w:t>
            </w:r>
          </w:p>
        </w:tc>
        <w:tc>
          <w:tcPr>
            <w:tcW w:w="4708" w:type="dxa"/>
            <w:tcBorders>
              <w:left w:val="single" w:sz="4" w:space="0" w:color="000000"/>
              <w:right w:val="single" w:sz="4" w:space="0" w:color="000000"/>
            </w:tcBorders>
            <w:shd w:val="clear" w:color="auto" w:fill="auto"/>
          </w:tcPr>
          <w:p w:rsidR="00E83D3D" w:rsidRPr="00C752F0" w:rsidRDefault="00E83D3D" w:rsidP="00F7538E">
            <w:pPr>
              <w:rPr>
                <w:rFonts w:ascii="Times New Roman" w:eastAsia="Arial" w:hAnsi="Times New Roman" w:cs="Times New Roman"/>
                <w:b/>
                <w:bCs/>
              </w:rPr>
            </w:pPr>
            <w:r w:rsidRPr="00C752F0">
              <w:rPr>
                <w:rFonts w:ascii="Times New Roman" w:eastAsia="Arial" w:hAnsi="Times New Roman" w:cs="Times New Roman"/>
                <w:b/>
                <w:bCs/>
              </w:rPr>
              <w:t xml:space="preserve">   9,460.00</w:t>
            </w:r>
          </w:p>
        </w:tc>
      </w:tr>
    </w:tbl>
    <w:p w:rsidR="006602BD" w:rsidRPr="00C752F0" w:rsidRDefault="006602BD" w:rsidP="00E83D3D">
      <w:pPr>
        <w:spacing w:line="240" w:lineRule="auto"/>
        <w:rPr>
          <w:rFonts w:ascii="Times New Roman" w:hAnsi="Times New Roman" w:cs="Times New Roman"/>
          <w:b/>
          <w:sz w:val="24"/>
          <w:szCs w:val="24"/>
        </w:rPr>
      </w:pPr>
    </w:p>
    <w:p w:rsidR="006602BD" w:rsidRPr="00C752F0" w:rsidRDefault="006602BD" w:rsidP="00AC7C96">
      <w:pPr>
        <w:spacing w:line="240" w:lineRule="auto"/>
        <w:rPr>
          <w:rFonts w:ascii="Times New Roman" w:hAnsi="Times New Roman" w:cs="Times New Roman"/>
          <w:sz w:val="24"/>
          <w:szCs w:val="24"/>
        </w:rPr>
      </w:pPr>
    </w:p>
    <w:p w:rsidR="00AC7C96" w:rsidRPr="00C752F0" w:rsidRDefault="00AC7C96" w:rsidP="00AC7C96">
      <w:pPr>
        <w:pStyle w:val="ListParagraph"/>
        <w:rPr>
          <w:rFonts w:ascii="Times New Roman" w:hAnsi="Times New Roman" w:cs="Times New Roman"/>
          <w:sz w:val="24"/>
          <w:szCs w:val="24"/>
        </w:rPr>
      </w:pPr>
    </w:p>
    <w:p w:rsidR="00AC7C96" w:rsidRPr="00C752F0" w:rsidRDefault="00AC7C96" w:rsidP="00AC7C96">
      <w:pPr>
        <w:pStyle w:val="ListParagraph"/>
        <w:rPr>
          <w:rFonts w:ascii="Times New Roman" w:hAnsi="Times New Roman" w:cs="Times New Roman"/>
          <w:b/>
          <w:sz w:val="24"/>
          <w:szCs w:val="24"/>
        </w:rPr>
      </w:pPr>
      <w:r w:rsidRPr="00C752F0">
        <w:rPr>
          <w:rFonts w:ascii="Times New Roman" w:hAnsi="Times New Roman" w:cs="Times New Roman"/>
          <w:b/>
          <w:sz w:val="24"/>
          <w:szCs w:val="24"/>
        </w:rPr>
        <w:t xml:space="preserve">Të hyrat </w:t>
      </w:r>
      <w:proofErr w:type="spellStart"/>
      <w:r w:rsidRPr="00C752F0">
        <w:rPr>
          <w:rFonts w:ascii="Times New Roman" w:hAnsi="Times New Roman" w:cs="Times New Roman"/>
          <w:b/>
          <w:sz w:val="24"/>
          <w:szCs w:val="24"/>
        </w:rPr>
        <w:t>vetanake</w:t>
      </w:r>
      <w:proofErr w:type="spellEnd"/>
      <w:r w:rsidRPr="00C752F0">
        <w:rPr>
          <w:rFonts w:ascii="Times New Roman" w:hAnsi="Times New Roman" w:cs="Times New Roman"/>
          <w:b/>
          <w:sz w:val="24"/>
          <w:szCs w:val="24"/>
        </w:rPr>
        <w:t xml:space="preserve"> :                   </w:t>
      </w:r>
      <w:r w:rsidR="00904BA7" w:rsidRPr="00C752F0">
        <w:rPr>
          <w:rFonts w:ascii="Times New Roman" w:hAnsi="Times New Roman" w:cs="Times New Roman"/>
          <w:b/>
          <w:sz w:val="24"/>
          <w:szCs w:val="24"/>
        </w:rPr>
        <w:t xml:space="preserve">                     </w:t>
      </w:r>
      <w:r w:rsidR="0083180D">
        <w:rPr>
          <w:rFonts w:ascii="Times New Roman" w:hAnsi="Times New Roman" w:cs="Times New Roman"/>
          <w:b/>
          <w:color w:val="000000"/>
          <w:sz w:val="24"/>
          <w:szCs w:val="24"/>
        </w:rPr>
        <w:t>898,683.06</w:t>
      </w:r>
    </w:p>
    <w:p w:rsidR="00AC7C96" w:rsidRPr="00C752F0" w:rsidRDefault="00AC7C96" w:rsidP="00AC7C96">
      <w:pPr>
        <w:pStyle w:val="ListParagraph"/>
        <w:rPr>
          <w:rFonts w:ascii="Times New Roman" w:hAnsi="Times New Roman" w:cs="Times New Roman"/>
          <w:b/>
          <w:sz w:val="24"/>
          <w:szCs w:val="24"/>
        </w:rPr>
      </w:pPr>
      <w:r w:rsidRPr="00C752F0">
        <w:rPr>
          <w:rFonts w:ascii="Times New Roman" w:hAnsi="Times New Roman" w:cs="Times New Roman"/>
          <w:b/>
          <w:sz w:val="24"/>
          <w:szCs w:val="24"/>
        </w:rPr>
        <w:t xml:space="preserve">Te hyrat nga Gjobat në trafik dhe Gjykata :    </w:t>
      </w:r>
      <w:r w:rsidR="00B65A42" w:rsidRPr="00C752F0">
        <w:rPr>
          <w:rFonts w:ascii="Times New Roman" w:hAnsi="Times New Roman" w:cs="Times New Roman"/>
          <w:b/>
          <w:sz w:val="24"/>
          <w:szCs w:val="24"/>
        </w:rPr>
        <w:t>133,857.00</w:t>
      </w:r>
    </w:p>
    <w:p w:rsidR="00AC7C96" w:rsidRPr="00C752F0" w:rsidRDefault="00AC7C96" w:rsidP="00AC7C96">
      <w:pPr>
        <w:pStyle w:val="ListParagraph"/>
        <w:rPr>
          <w:rFonts w:ascii="Times New Roman" w:hAnsi="Times New Roman" w:cs="Times New Roman"/>
          <w:b/>
          <w:sz w:val="24"/>
          <w:szCs w:val="24"/>
        </w:rPr>
      </w:pPr>
      <w:r w:rsidRPr="00C752F0">
        <w:rPr>
          <w:rFonts w:ascii="Times New Roman" w:hAnsi="Times New Roman" w:cs="Times New Roman"/>
          <w:b/>
          <w:sz w:val="24"/>
          <w:szCs w:val="24"/>
        </w:rPr>
        <w:t xml:space="preserve"> </w:t>
      </w:r>
    </w:p>
    <w:tbl>
      <w:tblPr>
        <w:tblW w:w="0" w:type="auto"/>
        <w:tblInd w:w="4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tblGrid>
      <w:tr w:rsidR="00AC7C96" w:rsidRPr="00C752F0" w:rsidTr="00CD182F">
        <w:trPr>
          <w:trHeight w:val="510"/>
        </w:trPr>
        <w:tc>
          <w:tcPr>
            <w:tcW w:w="4095" w:type="dxa"/>
          </w:tcPr>
          <w:p w:rsidR="00AC7C96" w:rsidRPr="0083180D" w:rsidRDefault="00B65A42" w:rsidP="0083180D">
            <w:pPr>
              <w:pStyle w:val="ListParagraph"/>
              <w:rPr>
                <w:rFonts w:ascii="Times New Roman" w:hAnsi="Times New Roman" w:cs="Times New Roman"/>
                <w:b/>
                <w:color w:val="000000"/>
                <w:sz w:val="24"/>
                <w:szCs w:val="24"/>
              </w:rPr>
            </w:pPr>
            <w:r w:rsidRPr="0083180D">
              <w:rPr>
                <w:rFonts w:ascii="Times New Roman" w:hAnsi="Times New Roman" w:cs="Times New Roman"/>
                <w:b/>
                <w:sz w:val="24"/>
                <w:szCs w:val="24"/>
              </w:rPr>
              <w:t xml:space="preserve">Totali : </w:t>
            </w:r>
            <w:r w:rsidR="000026DE" w:rsidRPr="0083180D">
              <w:rPr>
                <w:rFonts w:ascii="Times New Roman" w:hAnsi="Times New Roman" w:cs="Times New Roman"/>
                <w:b/>
                <w:sz w:val="24"/>
                <w:szCs w:val="24"/>
              </w:rPr>
              <w:t xml:space="preserve"> </w:t>
            </w:r>
            <w:r w:rsidR="0083180D" w:rsidRPr="0083180D">
              <w:rPr>
                <w:rFonts w:ascii="Times New Roman" w:hAnsi="Times New Roman" w:cs="Times New Roman"/>
                <w:b/>
                <w:sz w:val="24"/>
                <w:szCs w:val="24"/>
              </w:rPr>
              <w:t>1,032,540.06</w:t>
            </w:r>
            <w:r w:rsidR="0083180D" w:rsidRPr="0083180D">
              <w:rPr>
                <w:rFonts w:ascii="Calibri" w:hAnsi="Calibri" w:cs="Calibri"/>
                <w:b/>
              </w:rPr>
              <w:t xml:space="preserve"> </w:t>
            </w:r>
            <w:r w:rsidR="00FC4DB8" w:rsidRPr="0083180D">
              <w:rPr>
                <w:rFonts w:ascii="Times New Roman" w:hAnsi="Times New Roman" w:cs="Times New Roman"/>
                <w:b/>
                <w:sz w:val="24"/>
                <w:szCs w:val="24"/>
              </w:rPr>
              <w:t>E</w:t>
            </w:r>
            <w:r w:rsidR="00AC7C96" w:rsidRPr="0083180D">
              <w:rPr>
                <w:rFonts w:ascii="Times New Roman" w:hAnsi="Times New Roman" w:cs="Times New Roman"/>
                <w:b/>
                <w:sz w:val="24"/>
                <w:szCs w:val="24"/>
              </w:rPr>
              <w:t>uro</w:t>
            </w:r>
          </w:p>
        </w:tc>
      </w:tr>
    </w:tbl>
    <w:p w:rsidR="007A4D0A" w:rsidRDefault="00AC7C96" w:rsidP="0083180D">
      <w:pPr>
        <w:pStyle w:val="ListParagraph"/>
        <w:rPr>
          <w:rFonts w:ascii="Times New Roman" w:hAnsi="Times New Roman" w:cs="Times New Roman"/>
          <w:sz w:val="24"/>
          <w:szCs w:val="24"/>
        </w:rPr>
      </w:pPr>
      <w:r w:rsidRPr="00C752F0">
        <w:rPr>
          <w:rFonts w:ascii="Times New Roman" w:hAnsi="Times New Roman" w:cs="Times New Roman"/>
          <w:sz w:val="24"/>
          <w:szCs w:val="24"/>
        </w:rPr>
        <w:t xml:space="preserve">     </w:t>
      </w:r>
    </w:p>
    <w:p w:rsidR="006E14A6" w:rsidRPr="0083180D" w:rsidRDefault="00AC7C96" w:rsidP="0083180D">
      <w:pPr>
        <w:pStyle w:val="ListParagraph"/>
        <w:rPr>
          <w:rFonts w:ascii="Times New Roman" w:hAnsi="Times New Roman" w:cs="Times New Roman"/>
          <w:sz w:val="24"/>
          <w:szCs w:val="24"/>
        </w:rPr>
      </w:pPr>
      <w:r w:rsidRPr="00C752F0">
        <w:rPr>
          <w:rFonts w:ascii="Times New Roman" w:hAnsi="Times New Roman" w:cs="Times New Roman"/>
          <w:sz w:val="24"/>
          <w:szCs w:val="24"/>
        </w:rPr>
        <w:t xml:space="preserve">                                                                     </w:t>
      </w:r>
    </w:p>
    <w:p w:rsidR="00AC7C96" w:rsidRPr="00C752F0" w:rsidRDefault="00AC7C96" w:rsidP="0012559E">
      <w:pPr>
        <w:pStyle w:val="Heading2"/>
        <w:rPr>
          <w:rFonts w:ascii="Times New Roman" w:hAnsi="Times New Roman" w:cs="Times New Roman"/>
          <w:b/>
          <w:color w:val="auto"/>
        </w:rPr>
      </w:pPr>
    </w:p>
    <w:p w:rsidR="003959C1" w:rsidRPr="001736AB" w:rsidRDefault="00C752F0" w:rsidP="003959C1">
      <w:pPr>
        <w:pStyle w:val="Heading3"/>
        <w:numPr>
          <w:ilvl w:val="1"/>
          <w:numId w:val="47"/>
        </w:numPr>
        <w:tabs>
          <w:tab w:val="left" w:pos="990"/>
        </w:tabs>
        <w:rPr>
          <w:rFonts w:eastAsia="Times New Roman"/>
          <w:b/>
          <w:color w:val="auto"/>
        </w:rPr>
      </w:pPr>
      <w:bookmarkStart w:id="24" w:name="_Toc218599861"/>
      <w:r w:rsidRPr="001736AB">
        <w:rPr>
          <w:b/>
          <w:color w:val="auto"/>
        </w:rPr>
        <w:t xml:space="preserve">Paraqitja </w:t>
      </w:r>
      <w:proofErr w:type="spellStart"/>
      <w:r w:rsidRPr="001736AB">
        <w:rPr>
          <w:b/>
          <w:color w:val="auto"/>
        </w:rPr>
        <w:t>tabelare</w:t>
      </w:r>
      <w:proofErr w:type="spellEnd"/>
      <w:r w:rsidRPr="001736AB">
        <w:rPr>
          <w:b/>
          <w:color w:val="auto"/>
        </w:rPr>
        <w:t xml:space="preserve"> e periudhës së realizimit të </w:t>
      </w:r>
      <w:proofErr w:type="spellStart"/>
      <w:r w:rsidRPr="001736AB">
        <w:rPr>
          <w:b/>
          <w:color w:val="auto"/>
        </w:rPr>
        <w:t>të</w:t>
      </w:r>
      <w:proofErr w:type="spellEnd"/>
      <w:r w:rsidRPr="001736AB">
        <w:rPr>
          <w:b/>
          <w:color w:val="auto"/>
        </w:rPr>
        <w:t xml:space="preserve"> hyrave </w:t>
      </w:r>
      <w:proofErr w:type="spellStart"/>
      <w:r w:rsidRPr="001736AB">
        <w:rPr>
          <w:b/>
          <w:color w:val="auto"/>
        </w:rPr>
        <w:t>vetanake</w:t>
      </w:r>
      <w:proofErr w:type="spellEnd"/>
      <w:r w:rsidRPr="001736AB">
        <w:rPr>
          <w:b/>
          <w:color w:val="auto"/>
        </w:rPr>
        <w:t xml:space="preserve"> krahasuar me vitin 2024</w:t>
      </w:r>
      <w:bookmarkEnd w:id="24"/>
    </w:p>
    <w:p w:rsidR="003959C1" w:rsidRPr="003959C1" w:rsidRDefault="003959C1" w:rsidP="003959C1">
      <w:pPr>
        <w:pStyle w:val="ListParagraph"/>
        <w:spacing w:after="0" w:line="360" w:lineRule="auto"/>
        <w:jc w:val="both"/>
        <w:rPr>
          <w:rFonts w:ascii="Times New Roman" w:eastAsia="Times New Roman" w:hAnsi="Times New Roman" w:cs="Times New Roman"/>
          <w:b/>
          <w:sz w:val="24"/>
          <w:szCs w:val="24"/>
        </w:rPr>
      </w:pPr>
    </w:p>
    <w:p w:rsidR="006602BD" w:rsidRPr="001736AB" w:rsidRDefault="001736AB" w:rsidP="001736AB">
      <w:p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1E11B6">
        <w:rPr>
          <w:noProof/>
          <w:lang w:val="en-US"/>
        </w:rPr>
        <w:drawing>
          <wp:inline distT="0" distB="0" distL="0" distR="0" wp14:anchorId="7E95A325" wp14:editId="4DA0BC59">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423DC" w:rsidRPr="001736AB">
        <w:rPr>
          <w:rFonts w:ascii="Times New Roman" w:eastAsia="Times New Roman" w:hAnsi="Times New Roman" w:cs="Times New Roman"/>
          <w:sz w:val="24"/>
          <w:szCs w:val="24"/>
        </w:rPr>
        <w:br w:type="textWrapping" w:clear="all"/>
      </w:r>
      <w:r w:rsidR="00AC7C96" w:rsidRPr="001736AB">
        <w:rPr>
          <w:rFonts w:ascii="Times New Roman" w:eastAsia="Times New Roman" w:hAnsi="Times New Roman" w:cs="Times New Roman"/>
          <w:sz w:val="20"/>
          <w:szCs w:val="20"/>
        </w:rPr>
        <w:t>F</w:t>
      </w:r>
      <w:r>
        <w:rPr>
          <w:rFonts w:ascii="Times New Roman" w:eastAsia="Times New Roman" w:hAnsi="Times New Roman" w:cs="Times New Roman"/>
          <w:sz w:val="20"/>
          <w:szCs w:val="20"/>
        </w:rPr>
        <w:t>ig.1.</w:t>
      </w:r>
      <w:r w:rsidR="00AC7C96" w:rsidRPr="001736AB">
        <w:rPr>
          <w:rFonts w:ascii="Times New Roman" w:eastAsia="Times New Roman" w:hAnsi="Times New Roman" w:cs="Times New Roman"/>
          <w:sz w:val="20"/>
          <w:szCs w:val="20"/>
        </w:rPr>
        <w:t xml:space="preserve"> </w:t>
      </w:r>
      <w:r w:rsidR="00C752F0" w:rsidRPr="001736AB">
        <w:rPr>
          <w:rFonts w:ascii="Times New Roman" w:hAnsi="Times New Roman" w:cs="Times New Roman"/>
          <w:sz w:val="20"/>
          <w:szCs w:val="20"/>
        </w:rPr>
        <w:t xml:space="preserve">Krahasimi i të hyrave </w:t>
      </w:r>
      <w:proofErr w:type="spellStart"/>
      <w:r w:rsidR="00C752F0" w:rsidRPr="001736AB">
        <w:rPr>
          <w:rFonts w:ascii="Times New Roman" w:hAnsi="Times New Roman" w:cs="Times New Roman"/>
          <w:sz w:val="20"/>
          <w:szCs w:val="20"/>
        </w:rPr>
        <w:t>vetanake</w:t>
      </w:r>
      <w:proofErr w:type="spellEnd"/>
      <w:r w:rsidR="00C752F0" w:rsidRPr="001736AB">
        <w:rPr>
          <w:rFonts w:ascii="Times New Roman" w:hAnsi="Times New Roman" w:cs="Times New Roman"/>
          <w:sz w:val="20"/>
          <w:szCs w:val="20"/>
        </w:rPr>
        <w:t xml:space="preserve"> për </w:t>
      </w:r>
      <w:r>
        <w:rPr>
          <w:rFonts w:ascii="Times New Roman" w:hAnsi="Times New Roman" w:cs="Times New Roman"/>
          <w:sz w:val="20"/>
          <w:szCs w:val="20"/>
        </w:rPr>
        <w:t>periudhën janar–dhjetor 2024 -</w:t>
      </w:r>
      <w:r w:rsidR="00C752F0" w:rsidRPr="001736AB">
        <w:rPr>
          <w:rFonts w:ascii="Times New Roman" w:hAnsi="Times New Roman" w:cs="Times New Roman"/>
          <w:sz w:val="20"/>
          <w:szCs w:val="20"/>
        </w:rPr>
        <w:t xml:space="preserve"> 2025</w:t>
      </w:r>
    </w:p>
    <w:p w:rsidR="00875657" w:rsidRPr="00C752F0" w:rsidRDefault="00875657" w:rsidP="00196111">
      <w:pPr>
        <w:spacing w:after="0" w:line="360" w:lineRule="auto"/>
        <w:jc w:val="both"/>
        <w:rPr>
          <w:rFonts w:ascii="Times New Roman" w:eastAsia="Times New Roman" w:hAnsi="Times New Roman" w:cs="Times New Roman"/>
          <w:sz w:val="24"/>
          <w:szCs w:val="24"/>
        </w:rPr>
      </w:pPr>
    </w:p>
    <w:p w:rsidR="00875657" w:rsidRPr="001736AB" w:rsidRDefault="00875657" w:rsidP="001736AB">
      <w:pPr>
        <w:pStyle w:val="Heading1"/>
        <w:numPr>
          <w:ilvl w:val="0"/>
          <w:numId w:val="47"/>
        </w:numPr>
        <w:rPr>
          <w:b/>
          <w:color w:val="auto"/>
        </w:rPr>
      </w:pPr>
      <w:bookmarkStart w:id="25" w:name="_Toc218599862"/>
      <w:bookmarkStart w:id="26" w:name="_Toc188274098"/>
      <w:bookmarkStart w:id="27" w:name="_Toc188275235"/>
      <w:bookmarkStart w:id="28" w:name="_Toc188275765"/>
      <w:r w:rsidRPr="001736AB">
        <w:rPr>
          <w:b/>
          <w:color w:val="auto"/>
        </w:rPr>
        <w:t>PLANIFIKIMI DHE SHPENZIMI I BUXHETI PËR VITIN 2025</w:t>
      </w:r>
      <w:bookmarkEnd w:id="25"/>
    </w:p>
    <w:p w:rsidR="00875657" w:rsidRPr="001736AB" w:rsidRDefault="001736AB" w:rsidP="001736AB">
      <w:pPr>
        <w:pStyle w:val="Heading2"/>
        <w:rPr>
          <w:color w:val="auto"/>
        </w:rPr>
      </w:pPr>
      <w:bookmarkStart w:id="29" w:name="_Toc218599863"/>
      <w:r w:rsidRPr="001736AB">
        <w:rPr>
          <w:rStyle w:val="Strong"/>
          <w:color w:val="auto"/>
        </w:rPr>
        <w:t xml:space="preserve">2.1. </w:t>
      </w:r>
      <w:r w:rsidR="00875657" w:rsidRPr="001736AB">
        <w:rPr>
          <w:rStyle w:val="Strong"/>
          <w:color w:val="auto"/>
        </w:rPr>
        <w:t>Raport për periudhën janar–dhjetor 2025</w:t>
      </w:r>
      <w:bookmarkEnd w:id="29"/>
    </w:p>
    <w:p w:rsidR="00875657" w:rsidRPr="00C752F0" w:rsidRDefault="00875657" w:rsidP="00875657">
      <w:pPr>
        <w:pStyle w:val="NormalWeb"/>
        <w:rPr>
          <w:lang w:val="sq-AL"/>
        </w:rPr>
      </w:pPr>
      <w:r w:rsidRPr="00C752F0">
        <w:rPr>
          <w:lang w:val="sq-AL"/>
        </w:rPr>
        <w:t>Gjatë vitit 2025, Komuna e Deçanit ka menaxhuar buxhetin në përputhje me ligjet dhe rregulloret buxhetore, duke siguruar planifikim të kujdesshëm dhe shpenzim të rregullt të mjeteve publike.</w:t>
      </w:r>
    </w:p>
    <w:p w:rsidR="00875657" w:rsidRPr="001736AB" w:rsidRDefault="001736AB" w:rsidP="001736AB">
      <w:pPr>
        <w:pStyle w:val="Heading3"/>
        <w:rPr>
          <w:b/>
          <w:color w:val="auto"/>
        </w:rPr>
      </w:pPr>
      <w:bookmarkStart w:id="30" w:name="_Toc218599864"/>
      <w:bookmarkEnd w:id="26"/>
      <w:bookmarkEnd w:id="27"/>
      <w:bookmarkEnd w:id="28"/>
      <w:r w:rsidRPr="001736AB">
        <w:rPr>
          <w:b/>
          <w:color w:val="auto"/>
        </w:rPr>
        <w:t>2.1</w:t>
      </w:r>
      <w:r w:rsidR="00875657" w:rsidRPr="001736AB">
        <w:rPr>
          <w:b/>
          <w:color w:val="auto"/>
        </w:rPr>
        <w:t>.</w:t>
      </w:r>
      <w:r w:rsidRPr="001736AB">
        <w:rPr>
          <w:b/>
          <w:color w:val="auto"/>
        </w:rPr>
        <w:t xml:space="preserve">1. </w:t>
      </w:r>
      <w:r w:rsidR="00875657" w:rsidRPr="001736AB">
        <w:rPr>
          <w:b/>
          <w:color w:val="auto"/>
        </w:rPr>
        <w:t xml:space="preserve"> Planifikimi i Buxhetit për vitin 2026</w:t>
      </w:r>
      <w:bookmarkEnd w:id="30"/>
    </w:p>
    <w:p w:rsidR="00875657" w:rsidRPr="00C752F0" w:rsidRDefault="00875657" w:rsidP="00875657">
      <w:pPr>
        <w:pStyle w:val="NormalWeb"/>
        <w:rPr>
          <w:lang w:val="sq-AL"/>
        </w:rPr>
      </w:pPr>
      <w:r w:rsidRPr="00C752F0">
        <w:rPr>
          <w:lang w:val="sq-AL"/>
        </w:rPr>
        <w:t xml:space="preserve">Drejtoria për Buxhet dhe Financa gjatë muajit </w:t>
      </w:r>
      <w:r w:rsidRPr="00C752F0">
        <w:rPr>
          <w:rStyle w:val="Strong"/>
          <w:lang w:val="sq-AL"/>
        </w:rPr>
        <w:t>qershor 2025</w:t>
      </w:r>
      <w:r w:rsidRPr="00C752F0">
        <w:rPr>
          <w:lang w:val="sq-AL"/>
        </w:rPr>
        <w:t xml:space="preserve"> ka filluar procesin e planifikimit të buxhetit për vitin </w:t>
      </w:r>
      <w:r w:rsidRPr="00C752F0">
        <w:rPr>
          <w:rStyle w:val="Strong"/>
          <w:lang w:val="sq-AL"/>
        </w:rPr>
        <w:t>2026</w:t>
      </w:r>
      <w:r w:rsidRPr="00C752F0">
        <w:rPr>
          <w:lang w:val="sq-AL"/>
        </w:rPr>
        <w:t xml:space="preserve">. Pas pranimit të </w:t>
      </w:r>
      <w:r w:rsidRPr="00C752F0">
        <w:rPr>
          <w:rStyle w:val="Strong"/>
          <w:lang w:val="sq-AL"/>
        </w:rPr>
        <w:t>Qarkores së Parë Buxhetore 2026/2</w:t>
      </w:r>
      <w:r w:rsidRPr="00C752F0">
        <w:rPr>
          <w:lang w:val="sq-AL"/>
        </w:rPr>
        <w:t xml:space="preserve">, me datë </w:t>
      </w:r>
      <w:r w:rsidRPr="00C752F0">
        <w:rPr>
          <w:rStyle w:val="Strong"/>
          <w:lang w:val="sq-AL"/>
        </w:rPr>
        <w:t>15.05.2025</w:t>
      </w:r>
      <w:r w:rsidRPr="00C752F0">
        <w:rPr>
          <w:lang w:val="sq-AL"/>
        </w:rPr>
        <w:t xml:space="preserve">, janë iniciuar takimet buxhetore për hartimin e </w:t>
      </w:r>
      <w:r w:rsidRPr="00C752F0">
        <w:rPr>
          <w:rStyle w:val="Strong"/>
          <w:lang w:val="sq-AL"/>
        </w:rPr>
        <w:t>Kornizës Afatmesme Buxhetore (KAB) 2026–2028</w:t>
      </w:r>
      <w:r w:rsidRPr="00C752F0">
        <w:rPr>
          <w:lang w:val="sq-AL"/>
        </w:rPr>
        <w:t>.</w:t>
      </w:r>
    </w:p>
    <w:p w:rsidR="00875657" w:rsidRPr="00C752F0" w:rsidRDefault="00875657" w:rsidP="00875657">
      <w:pPr>
        <w:pStyle w:val="NormalWeb"/>
        <w:rPr>
          <w:lang w:val="sq-AL"/>
        </w:rPr>
      </w:pPr>
      <w:r w:rsidRPr="00C752F0">
        <w:rPr>
          <w:lang w:val="sq-AL"/>
        </w:rPr>
        <w:t xml:space="preserve">Në kuadër të këtij procesi janë organizuar dhe mbajtur gjithsej </w:t>
      </w:r>
      <w:r w:rsidRPr="00C752F0">
        <w:rPr>
          <w:rStyle w:val="Strong"/>
          <w:lang w:val="sq-AL"/>
        </w:rPr>
        <w:t>katër (4) dëgjime buxhetore</w:t>
      </w:r>
      <w:r w:rsidRPr="00C752F0">
        <w:rPr>
          <w:lang w:val="sq-AL"/>
        </w:rPr>
        <w:t>, përfshirë:</w:t>
      </w:r>
    </w:p>
    <w:p w:rsidR="00875657" w:rsidRPr="00C752F0" w:rsidRDefault="00875657" w:rsidP="00875657">
      <w:pPr>
        <w:pStyle w:val="NormalWeb"/>
        <w:numPr>
          <w:ilvl w:val="0"/>
          <w:numId w:val="40"/>
        </w:numPr>
        <w:rPr>
          <w:lang w:val="sq-AL"/>
        </w:rPr>
      </w:pPr>
      <w:r w:rsidRPr="00C752F0">
        <w:rPr>
          <w:lang w:val="sq-AL"/>
        </w:rPr>
        <w:t>dëgjim buxhetor me qytetarë dhe përfaqësues të këshillave lokale të fshatrave.</w:t>
      </w:r>
    </w:p>
    <w:p w:rsidR="00875657" w:rsidRPr="00C752F0" w:rsidRDefault="00875657" w:rsidP="00875657">
      <w:pPr>
        <w:pStyle w:val="NormalWeb"/>
        <w:rPr>
          <w:lang w:val="sq-AL"/>
        </w:rPr>
      </w:pPr>
      <w:r w:rsidRPr="00C752F0">
        <w:rPr>
          <w:lang w:val="sq-AL"/>
        </w:rPr>
        <w:t xml:space="preserve">Me datë </w:t>
      </w:r>
      <w:r w:rsidRPr="00C752F0">
        <w:rPr>
          <w:rStyle w:val="Strong"/>
          <w:lang w:val="sq-AL"/>
        </w:rPr>
        <w:t>28 qershor 2025</w:t>
      </w:r>
      <w:r w:rsidRPr="00C752F0">
        <w:rPr>
          <w:lang w:val="sq-AL"/>
        </w:rPr>
        <w:t xml:space="preserve">, </w:t>
      </w:r>
      <w:r w:rsidRPr="00C752F0">
        <w:rPr>
          <w:rStyle w:val="Strong"/>
          <w:lang w:val="sq-AL"/>
        </w:rPr>
        <w:t>Korniza Afatmesme Buxhetore 2026–2028</w:t>
      </w:r>
      <w:r w:rsidRPr="00C752F0">
        <w:rPr>
          <w:lang w:val="sq-AL"/>
        </w:rPr>
        <w:t xml:space="preserve"> është aprovuar nga </w:t>
      </w:r>
      <w:r w:rsidRPr="00C752F0">
        <w:rPr>
          <w:rStyle w:val="Strong"/>
          <w:lang w:val="sq-AL"/>
        </w:rPr>
        <w:t>Asambleja Komunale</w:t>
      </w:r>
      <w:r w:rsidRPr="00C752F0">
        <w:rPr>
          <w:lang w:val="sq-AL"/>
        </w:rPr>
        <w:t>.</w:t>
      </w:r>
    </w:p>
    <w:p w:rsidR="00875657" w:rsidRPr="00C752F0" w:rsidRDefault="00875657" w:rsidP="00875657">
      <w:pPr>
        <w:pStyle w:val="NormalWeb"/>
        <w:rPr>
          <w:lang w:val="sq-AL"/>
        </w:rPr>
      </w:pPr>
      <w:r w:rsidRPr="00C752F0">
        <w:rPr>
          <w:lang w:val="sq-AL"/>
        </w:rPr>
        <w:t xml:space="preserve">Pas lëshimit të </w:t>
      </w:r>
      <w:r w:rsidRPr="00C752F0">
        <w:rPr>
          <w:rStyle w:val="Strong"/>
          <w:lang w:val="sq-AL"/>
        </w:rPr>
        <w:t>Qarkores së Dytë Buxhetore 2026/2</w:t>
      </w:r>
      <w:r w:rsidRPr="00C752F0">
        <w:rPr>
          <w:lang w:val="sq-AL"/>
        </w:rPr>
        <w:t xml:space="preserve"> nga Ministria e Financave, me datë </w:t>
      </w:r>
      <w:r w:rsidRPr="00C752F0">
        <w:rPr>
          <w:rStyle w:val="Strong"/>
          <w:lang w:val="sq-AL"/>
        </w:rPr>
        <w:t>15.08.2025</w:t>
      </w:r>
      <w:r w:rsidRPr="00C752F0">
        <w:rPr>
          <w:lang w:val="sq-AL"/>
        </w:rPr>
        <w:t>, Drejtoria për Buxhet dhe Financa, në bashkëpunim me Ekzekutivin, KPF-në dhe Asamblenë Komunale, ka vazhduar me planifikimin e detajuar të buxhetit për vitin 2026.</w:t>
      </w:r>
    </w:p>
    <w:p w:rsidR="00875657" w:rsidRPr="00C752F0" w:rsidRDefault="00875657" w:rsidP="00875657">
      <w:pPr>
        <w:pStyle w:val="NormalWeb"/>
        <w:rPr>
          <w:lang w:val="sq-AL"/>
        </w:rPr>
      </w:pPr>
      <w:r w:rsidRPr="00C752F0">
        <w:rPr>
          <w:lang w:val="sq-AL"/>
        </w:rPr>
        <w:lastRenderedPageBreak/>
        <w:t>Para finalizimit të planifikimit buxhetor, janë organizuar dëgjime buxhetore me grupe të ndryshme të interesit, si në vijim:</w:t>
      </w:r>
    </w:p>
    <w:p w:rsidR="00875657" w:rsidRPr="00C752F0" w:rsidRDefault="00875657" w:rsidP="00875657">
      <w:pPr>
        <w:pStyle w:val="NormalWeb"/>
        <w:numPr>
          <w:ilvl w:val="0"/>
          <w:numId w:val="41"/>
        </w:numPr>
        <w:rPr>
          <w:lang w:val="sq-AL"/>
        </w:rPr>
      </w:pPr>
      <w:r w:rsidRPr="00C752F0">
        <w:rPr>
          <w:lang w:val="sq-AL"/>
        </w:rPr>
        <w:t>Dëgjim buxhetor me sektorin e shëndetësisë</w:t>
      </w:r>
    </w:p>
    <w:p w:rsidR="00875657" w:rsidRPr="00C752F0" w:rsidRDefault="00875657" w:rsidP="00875657">
      <w:pPr>
        <w:pStyle w:val="NormalWeb"/>
        <w:numPr>
          <w:ilvl w:val="0"/>
          <w:numId w:val="41"/>
        </w:numPr>
        <w:rPr>
          <w:lang w:val="sq-AL"/>
        </w:rPr>
      </w:pPr>
      <w:r w:rsidRPr="00C752F0">
        <w:rPr>
          <w:lang w:val="sq-AL"/>
        </w:rPr>
        <w:t>Dëgjim buxhetor me sektorin e arsimit</w:t>
      </w:r>
    </w:p>
    <w:p w:rsidR="00875657" w:rsidRPr="00C752F0" w:rsidRDefault="00875657" w:rsidP="00875657">
      <w:pPr>
        <w:pStyle w:val="NormalWeb"/>
        <w:numPr>
          <w:ilvl w:val="0"/>
          <w:numId w:val="41"/>
        </w:numPr>
        <w:rPr>
          <w:lang w:val="sq-AL"/>
        </w:rPr>
      </w:pPr>
      <w:r w:rsidRPr="00C752F0">
        <w:rPr>
          <w:lang w:val="sq-AL"/>
        </w:rPr>
        <w:t>Dëgjim buxhetor me qytetarë dhe përfaqësues të fshatrave të Komunës së Deçanit</w:t>
      </w:r>
    </w:p>
    <w:p w:rsidR="00875657" w:rsidRPr="00C752F0" w:rsidRDefault="00875657" w:rsidP="00875657">
      <w:pPr>
        <w:pStyle w:val="NormalWeb"/>
        <w:numPr>
          <w:ilvl w:val="0"/>
          <w:numId w:val="41"/>
        </w:numPr>
        <w:rPr>
          <w:lang w:val="sq-AL"/>
        </w:rPr>
      </w:pPr>
      <w:r w:rsidRPr="00C752F0">
        <w:rPr>
          <w:lang w:val="sq-AL"/>
        </w:rPr>
        <w:t>Dëgjim buxhetor me gratë</w:t>
      </w:r>
    </w:p>
    <w:p w:rsidR="00875657" w:rsidRPr="00C752F0" w:rsidRDefault="00875657" w:rsidP="00875657">
      <w:pPr>
        <w:pStyle w:val="NormalWeb"/>
        <w:numPr>
          <w:ilvl w:val="0"/>
          <w:numId w:val="41"/>
        </w:numPr>
        <w:rPr>
          <w:lang w:val="sq-AL"/>
        </w:rPr>
      </w:pPr>
      <w:r w:rsidRPr="00C752F0">
        <w:rPr>
          <w:lang w:val="sq-AL"/>
        </w:rPr>
        <w:t>Dëgjim buxhetor me OJQ-të, rininë dhe sportistët</w:t>
      </w:r>
    </w:p>
    <w:p w:rsidR="00875657" w:rsidRPr="00C752F0" w:rsidRDefault="00875657" w:rsidP="00875657">
      <w:pPr>
        <w:pStyle w:val="NormalWeb"/>
        <w:rPr>
          <w:lang w:val="sq-AL"/>
        </w:rPr>
      </w:pPr>
      <w:r w:rsidRPr="00C752F0">
        <w:rPr>
          <w:lang w:val="sq-AL"/>
        </w:rPr>
        <w:t xml:space="preserve">Në mbledhjen e Asamblesë Komunale të mbajtur më </w:t>
      </w:r>
      <w:r w:rsidRPr="00C752F0">
        <w:rPr>
          <w:rStyle w:val="Strong"/>
          <w:lang w:val="sq-AL"/>
        </w:rPr>
        <w:t>28.09.2024</w:t>
      </w:r>
      <w:r w:rsidRPr="00C752F0">
        <w:rPr>
          <w:lang w:val="sq-AL"/>
        </w:rPr>
        <w:t xml:space="preserve">, është aprovuar </w:t>
      </w:r>
      <w:r w:rsidRPr="00C752F0">
        <w:rPr>
          <w:rStyle w:val="Strong"/>
          <w:lang w:val="sq-AL"/>
        </w:rPr>
        <w:t>Buxheti i Komunës së Deçanit për vitin 2025</w:t>
      </w:r>
      <w:r w:rsidRPr="00C752F0">
        <w:rPr>
          <w:lang w:val="sq-AL"/>
        </w:rPr>
        <w:t>.</w:t>
      </w:r>
    </w:p>
    <w:p w:rsidR="00875657" w:rsidRPr="001736AB" w:rsidRDefault="001736AB" w:rsidP="001736AB">
      <w:pPr>
        <w:pStyle w:val="Heading3"/>
        <w:rPr>
          <w:b/>
          <w:color w:val="auto"/>
        </w:rPr>
      </w:pPr>
      <w:bookmarkStart w:id="31" w:name="_Toc218599865"/>
      <w:r>
        <w:rPr>
          <w:b/>
          <w:color w:val="auto"/>
        </w:rPr>
        <w:t xml:space="preserve">2.1.2. </w:t>
      </w:r>
      <w:r w:rsidR="00875657" w:rsidRPr="001736AB">
        <w:rPr>
          <w:b/>
          <w:color w:val="auto"/>
        </w:rPr>
        <w:t>Shpenzimi i Buxhetit për vitin 2025</w:t>
      </w:r>
      <w:bookmarkEnd w:id="31"/>
    </w:p>
    <w:p w:rsidR="00875657" w:rsidRPr="00C752F0" w:rsidRDefault="00875657" w:rsidP="00875657">
      <w:pPr>
        <w:pStyle w:val="NormalWeb"/>
        <w:rPr>
          <w:lang w:val="sq-AL"/>
        </w:rPr>
      </w:pPr>
      <w:r w:rsidRPr="00C752F0">
        <w:rPr>
          <w:lang w:val="sq-AL"/>
        </w:rPr>
        <w:t xml:space="preserve">Buxheti fillestar i aprovuar nga Kuvendi Komunal për vitin 2025 ka qenë në shumën prej </w:t>
      </w:r>
      <w:r w:rsidRPr="00C752F0">
        <w:rPr>
          <w:rStyle w:val="Strong"/>
          <w:lang w:val="sq-AL"/>
        </w:rPr>
        <w:t>13,501,365.00 €</w:t>
      </w:r>
      <w:r w:rsidRPr="00C752F0">
        <w:rPr>
          <w:lang w:val="sq-AL"/>
        </w:rPr>
        <w:t xml:space="preserve"> nga </w:t>
      </w:r>
      <w:proofErr w:type="spellStart"/>
      <w:r w:rsidRPr="00C752F0">
        <w:rPr>
          <w:rStyle w:val="Strong"/>
          <w:lang w:val="sq-AL"/>
        </w:rPr>
        <w:t>Granti</w:t>
      </w:r>
      <w:proofErr w:type="spellEnd"/>
      <w:r w:rsidRPr="00C752F0">
        <w:rPr>
          <w:rStyle w:val="Strong"/>
          <w:lang w:val="sq-AL"/>
        </w:rPr>
        <w:t xml:space="preserve"> Qeveritar</w:t>
      </w:r>
      <w:r w:rsidRPr="00C752F0">
        <w:rPr>
          <w:lang w:val="sq-AL"/>
        </w:rPr>
        <w:t xml:space="preserve">, si dhe </w:t>
      </w:r>
      <w:r w:rsidRPr="00C752F0">
        <w:rPr>
          <w:rStyle w:val="Strong"/>
          <w:lang w:val="sq-AL"/>
        </w:rPr>
        <w:t>900,000.00 €</w:t>
      </w:r>
      <w:r w:rsidRPr="00C752F0">
        <w:rPr>
          <w:lang w:val="sq-AL"/>
        </w:rPr>
        <w:t xml:space="preserve"> nga </w:t>
      </w:r>
      <w:r w:rsidRPr="00C752F0">
        <w:rPr>
          <w:rStyle w:val="Strong"/>
          <w:lang w:val="sq-AL"/>
        </w:rPr>
        <w:t xml:space="preserve">Të Hyrat </w:t>
      </w:r>
      <w:proofErr w:type="spellStart"/>
      <w:r w:rsidRPr="00C752F0">
        <w:rPr>
          <w:rStyle w:val="Strong"/>
          <w:lang w:val="sq-AL"/>
        </w:rPr>
        <w:t>Vetanaake</w:t>
      </w:r>
      <w:proofErr w:type="spellEnd"/>
      <w:r w:rsidRPr="00C752F0">
        <w:rPr>
          <w:lang w:val="sq-AL"/>
        </w:rPr>
        <w:t xml:space="preserve">, të planifikuara për </w:t>
      </w:r>
      <w:proofErr w:type="spellStart"/>
      <w:r w:rsidRPr="00C752F0">
        <w:rPr>
          <w:lang w:val="sq-AL"/>
        </w:rPr>
        <w:t>inkasim</w:t>
      </w:r>
      <w:proofErr w:type="spellEnd"/>
      <w:r w:rsidRPr="00C752F0">
        <w:rPr>
          <w:lang w:val="sq-AL"/>
        </w:rPr>
        <w:t xml:space="preserve"> gjatë vitit 2025.</w:t>
      </w:r>
      <w:r w:rsidRPr="00C752F0">
        <w:rPr>
          <w:lang w:val="sq-AL"/>
        </w:rPr>
        <w:br/>
        <w:t xml:space="preserve">Si rrjedhojë, </w:t>
      </w:r>
      <w:r w:rsidRPr="00C752F0">
        <w:rPr>
          <w:rStyle w:val="Strong"/>
          <w:lang w:val="sq-AL"/>
        </w:rPr>
        <w:t>buxheti fillestar total për vitin 2025</w:t>
      </w:r>
      <w:r w:rsidRPr="00C752F0">
        <w:rPr>
          <w:lang w:val="sq-AL"/>
        </w:rPr>
        <w:t xml:space="preserve"> ka qenë </w:t>
      </w:r>
      <w:r w:rsidRPr="00C752F0">
        <w:rPr>
          <w:rStyle w:val="Strong"/>
          <w:lang w:val="sq-AL"/>
        </w:rPr>
        <w:t>14,401,936.00 €</w:t>
      </w:r>
      <w:r w:rsidRPr="00C752F0">
        <w:rPr>
          <w:lang w:val="sq-AL"/>
        </w:rPr>
        <w:t>.</w:t>
      </w:r>
    </w:p>
    <w:p w:rsidR="00875657" w:rsidRPr="00C752F0" w:rsidRDefault="00875657" w:rsidP="00875657">
      <w:pPr>
        <w:pStyle w:val="NormalWeb"/>
        <w:rPr>
          <w:lang w:val="sq-AL"/>
        </w:rPr>
      </w:pPr>
      <w:r w:rsidRPr="00C752F0">
        <w:rPr>
          <w:lang w:val="sq-AL"/>
        </w:rPr>
        <w:t xml:space="preserve">Të hyrat e bartura nga viti </w:t>
      </w:r>
      <w:r w:rsidRPr="00C752F0">
        <w:rPr>
          <w:rStyle w:val="Strong"/>
          <w:lang w:val="sq-AL"/>
        </w:rPr>
        <w:t>2023 në vitin 2024</w:t>
      </w:r>
      <w:r w:rsidRPr="00C752F0">
        <w:rPr>
          <w:lang w:val="sq-AL"/>
        </w:rPr>
        <w:t xml:space="preserve"> kanë qenë në shumën prej </w:t>
      </w:r>
      <w:r w:rsidRPr="00C752F0">
        <w:rPr>
          <w:rStyle w:val="Strong"/>
          <w:lang w:val="sq-AL"/>
        </w:rPr>
        <w:t>184,532.24 €</w:t>
      </w:r>
      <w:r w:rsidRPr="00C752F0">
        <w:rPr>
          <w:lang w:val="sq-AL"/>
        </w:rPr>
        <w:t>.</w:t>
      </w:r>
    </w:p>
    <w:p w:rsidR="00875657" w:rsidRPr="00C752F0" w:rsidRDefault="00875657" w:rsidP="00875657">
      <w:pPr>
        <w:pStyle w:val="NormalWeb"/>
        <w:rPr>
          <w:lang w:val="sq-AL"/>
        </w:rPr>
      </w:pPr>
      <w:r w:rsidRPr="00C752F0">
        <w:rPr>
          <w:lang w:val="sq-AL"/>
        </w:rPr>
        <w:t xml:space="preserve">Gjatë vitit 2025, numri i përgjithshëm i pagesave ka qenë </w:t>
      </w:r>
      <w:r w:rsidRPr="00C752F0">
        <w:rPr>
          <w:rStyle w:val="Strong"/>
          <w:lang w:val="sq-AL"/>
        </w:rPr>
        <w:t>2,968</w:t>
      </w:r>
      <w:r w:rsidRPr="00C752F0">
        <w:rPr>
          <w:lang w:val="sq-AL"/>
        </w:rPr>
        <w:t xml:space="preserve">, ndërsa </w:t>
      </w:r>
      <w:r w:rsidRPr="00C752F0">
        <w:rPr>
          <w:rStyle w:val="Strong"/>
          <w:lang w:val="sq-AL"/>
        </w:rPr>
        <w:t>2,192 pagesa</w:t>
      </w:r>
      <w:r w:rsidRPr="00C752F0">
        <w:rPr>
          <w:lang w:val="sq-AL"/>
        </w:rPr>
        <w:t xml:space="preserve"> janë realizuar brenda afatit ligjor prej 30 ditësh, që përfaqëson </w:t>
      </w:r>
      <w:r w:rsidRPr="00C752F0">
        <w:rPr>
          <w:rStyle w:val="Strong"/>
          <w:lang w:val="sq-AL"/>
        </w:rPr>
        <w:t>73.85 %</w:t>
      </w:r>
      <w:r w:rsidRPr="00C752F0">
        <w:rPr>
          <w:lang w:val="sq-AL"/>
        </w:rPr>
        <w:t xml:space="preserve"> të pagesave totale.</w:t>
      </w:r>
    </w:p>
    <w:p w:rsidR="00875657" w:rsidRPr="00C752F0" w:rsidRDefault="00875657" w:rsidP="00875657">
      <w:pPr>
        <w:pStyle w:val="NormalWeb"/>
        <w:rPr>
          <w:lang w:val="sq-AL"/>
        </w:rPr>
      </w:pPr>
      <w:r w:rsidRPr="00C752F0">
        <w:rPr>
          <w:lang w:val="sq-AL"/>
        </w:rPr>
        <w:t xml:space="preserve">Me </w:t>
      </w:r>
      <w:r w:rsidRPr="00C752F0">
        <w:rPr>
          <w:rStyle w:val="Strong"/>
          <w:lang w:val="sq-AL"/>
        </w:rPr>
        <w:t>Vendimin e Qeverisë së Republikës së Kosovës Nr. 03/261</w:t>
      </w:r>
      <w:r w:rsidRPr="00C752F0">
        <w:rPr>
          <w:lang w:val="sq-AL"/>
        </w:rPr>
        <w:t xml:space="preserve">, datë </w:t>
      </w:r>
      <w:r w:rsidRPr="00C752F0">
        <w:rPr>
          <w:rStyle w:val="Strong"/>
          <w:lang w:val="sq-AL"/>
        </w:rPr>
        <w:t>05.06.2025</w:t>
      </w:r>
      <w:r w:rsidRPr="00C752F0">
        <w:rPr>
          <w:lang w:val="sq-AL"/>
        </w:rPr>
        <w:t xml:space="preserve">, janë ndarë mjete buxhetore në kategorinë e pagave në shumën prej </w:t>
      </w:r>
      <w:r w:rsidRPr="00C752F0">
        <w:rPr>
          <w:rStyle w:val="Strong"/>
          <w:lang w:val="sq-AL"/>
        </w:rPr>
        <w:t>319,594.29 €</w:t>
      </w:r>
      <w:r w:rsidRPr="00C752F0">
        <w:rPr>
          <w:lang w:val="sq-AL"/>
        </w:rPr>
        <w:t xml:space="preserve">, për rritjen prej </w:t>
      </w:r>
      <w:r w:rsidRPr="00C752F0">
        <w:rPr>
          <w:rStyle w:val="Strong"/>
          <w:lang w:val="sq-AL"/>
        </w:rPr>
        <w:t>0.5 njësish të koeficientit</w:t>
      </w:r>
      <w:r w:rsidRPr="00C752F0">
        <w:rPr>
          <w:lang w:val="sq-AL"/>
        </w:rPr>
        <w:t>, e cila është aplikuar nga muaji korrik 2025.</w:t>
      </w:r>
    </w:p>
    <w:p w:rsidR="00E269EE" w:rsidRDefault="00875657" w:rsidP="00120F2B">
      <w:pPr>
        <w:pStyle w:val="NormalWeb"/>
        <w:rPr>
          <w:lang w:val="sq-AL"/>
        </w:rPr>
      </w:pPr>
      <w:r w:rsidRPr="00C752F0">
        <w:rPr>
          <w:lang w:val="sq-AL"/>
        </w:rPr>
        <w:t xml:space="preserve">Po ashtu, me </w:t>
      </w:r>
      <w:r w:rsidRPr="00C752F0">
        <w:rPr>
          <w:rStyle w:val="Strong"/>
          <w:lang w:val="sq-AL"/>
        </w:rPr>
        <w:t>Vendimin Nr. 02/281</w:t>
      </w:r>
      <w:r w:rsidRPr="00C752F0">
        <w:rPr>
          <w:lang w:val="sq-AL"/>
        </w:rPr>
        <w:t xml:space="preserve">, datë </w:t>
      </w:r>
      <w:r w:rsidRPr="00C752F0">
        <w:rPr>
          <w:rStyle w:val="Strong"/>
          <w:lang w:val="sq-AL"/>
        </w:rPr>
        <w:t>25.12.2025</w:t>
      </w:r>
      <w:r w:rsidRPr="00C752F0">
        <w:rPr>
          <w:lang w:val="sq-AL"/>
        </w:rPr>
        <w:t xml:space="preserve">, janë ndarë mjete shtesë në shumën prej </w:t>
      </w:r>
      <w:r w:rsidRPr="00C752F0">
        <w:rPr>
          <w:rStyle w:val="Strong"/>
          <w:lang w:val="sq-AL"/>
        </w:rPr>
        <w:t>25,037.03 €</w:t>
      </w:r>
      <w:r w:rsidRPr="00C752F0">
        <w:rPr>
          <w:lang w:val="sq-AL"/>
        </w:rPr>
        <w:t>, për mbulimin e mungesës së mjeteve për pagat e muajit dhjetor 2025.</w:t>
      </w:r>
    </w:p>
    <w:p w:rsidR="00120F2B" w:rsidRPr="00120F2B" w:rsidRDefault="00120F2B" w:rsidP="00120F2B">
      <w:pPr>
        <w:pStyle w:val="NormalWeb"/>
        <w:rPr>
          <w:lang w:val="sq-AL"/>
        </w:rPr>
      </w:pPr>
    </w:p>
    <w:p w:rsidR="00E269EE" w:rsidRPr="00120F2B" w:rsidRDefault="00E269EE" w:rsidP="00120F2B">
      <w:pPr>
        <w:pStyle w:val="Heading4"/>
        <w:rPr>
          <w:rFonts w:eastAsiaTheme="minorHAnsi"/>
          <w:b/>
          <w:color w:val="auto"/>
        </w:rPr>
      </w:pPr>
      <w:r w:rsidRPr="00120F2B">
        <w:rPr>
          <w:b/>
          <w:color w:val="auto"/>
        </w:rPr>
        <w:t>Tabela 1. Struktura e shpenzimeve për vitin 2025</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149"/>
        <w:gridCol w:w="1476"/>
        <w:gridCol w:w="1337"/>
        <w:gridCol w:w="1510"/>
        <w:gridCol w:w="1476"/>
        <w:gridCol w:w="1596"/>
      </w:tblGrid>
      <w:tr w:rsidR="000E1060" w:rsidRPr="00C752F0" w:rsidTr="000E1060">
        <w:trPr>
          <w:trHeight w:val="1021"/>
        </w:trPr>
        <w:tc>
          <w:tcPr>
            <w:tcW w:w="756" w:type="dxa"/>
            <w:shd w:val="clear" w:color="auto" w:fill="BDD6EE" w:themeFill="accent1" w:themeFillTint="66"/>
            <w:vAlign w:val="bottom"/>
            <w:hideMark/>
          </w:tcPr>
          <w:p w:rsidR="00D9504A" w:rsidRPr="00C752F0" w:rsidRDefault="00D9504A" w:rsidP="00D9504A">
            <w:pPr>
              <w:spacing w:after="0" w:line="240" w:lineRule="auto"/>
              <w:rPr>
                <w:rFonts w:ascii="Times New Roman" w:eastAsia="Times New Roman" w:hAnsi="Times New Roman" w:cs="Times New Roman"/>
                <w:b/>
                <w:color w:val="000000"/>
                <w:sz w:val="24"/>
                <w:szCs w:val="24"/>
              </w:rPr>
            </w:pPr>
            <w:r w:rsidRPr="00C752F0">
              <w:rPr>
                <w:rFonts w:ascii="Times New Roman" w:eastAsia="Times New Roman" w:hAnsi="Times New Roman" w:cs="Times New Roman"/>
                <w:b/>
                <w:color w:val="000000"/>
                <w:sz w:val="24"/>
                <w:szCs w:val="24"/>
              </w:rPr>
              <w:t xml:space="preserve">Stafi </w:t>
            </w:r>
          </w:p>
        </w:tc>
        <w:tc>
          <w:tcPr>
            <w:tcW w:w="2149" w:type="dxa"/>
            <w:shd w:val="clear" w:color="auto" w:fill="BDD6EE" w:themeFill="accent1" w:themeFillTint="66"/>
            <w:vAlign w:val="bottom"/>
            <w:hideMark/>
          </w:tcPr>
          <w:p w:rsidR="00D9504A" w:rsidRPr="00C752F0" w:rsidRDefault="00D9504A" w:rsidP="00D9504A">
            <w:pPr>
              <w:spacing w:after="0" w:line="240" w:lineRule="auto"/>
              <w:rPr>
                <w:rFonts w:ascii="Times New Roman" w:eastAsia="Times New Roman" w:hAnsi="Times New Roman" w:cs="Times New Roman"/>
                <w:b/>
                <w:color w:val="000000"/>
                <w:sz w:val="24"/>
                <w:szCs w:val="24"/>
              </w:rPr>
            </w:pPr>
            <w:r w:rsidRPr="00C752F0">
              <w:rPr>
                <w:rFonts w:ascii="Times New Roman" w:eastAsia="Times New Roman" w:hAnsi="Times New Roman" w:cs="Times New Roman"/>
                <w:b/>
                <w:color w:val="000000"/>
                <w:sz w:val="24"/>
                <w:szCs w:val="24"/>
              </w:rPr>
              <w:t xml:space="preserve">Paga dhe </w:t>
            </w:r>
            <w:proofErr w:type="spellStart"/>
            <w:r w:rsidRPr="00C752F0">
              <w:rPr>
                <w:rFonts w:ascii="Times New Roman" w:eastAsia="Times New Roman" w:hAnsi="Times New Roman" w:cs="Times New Roman"/>
                <w:b/>
                <w:color w:val="000000"/>
                <w:sz w:val="24"/>
                <w:szCs w:val="24"/>
              </w:rPr>
              <w:t>meditje</w:t>
            </w:r>
            <w:proofErr w:type="spellEnd"/>
          </w:p>
        </w:tc>
        <w:tc>
          <w:tcPr>
            <w:tcW w:w="1420" w:type="dxa"/>
            <w:shd w:val="clear" w:color="auto" w:fill="BDD6EE" w:themeFill="accent1" w:themeFillTint="66"/>
            <w:vAlign w:val="bottom"/>
            <w:hideMark/>
          </w:tcPr>
          <w:p w:rsidR="00D9504A" w:rsidRPr="00C752F0" w:rsidRDefault="00D9504A" w:rsidP="00D9504A">
            <w:pPr>
              <w:spacing w:after="0" w:line="240" w:lineRule="auto"/>
              <w:rPr>
                <w:rFonts w:ascii="Times New Roman" w:eastAsia="Times New Roman" w:hAnsi="Times New Roman" w:cs="Times New Roman"/>
                <w:b/>
                <w:color w:val="000000"/>
                <w:sz w:val="24"/>
                <w:szCs w:val="24"/>
              </w:rPr>
            </w:pPr>
            <w:r w:rsidRPr="00C752F0">
              <w:rPr>
                <w:rFonts w:ascii="Times New Roman" w:eastAsia="Times New Roman" w:hAnsi="Times New Roman" w:cs="Times New Roman"/>
                <w:b/>
                <w:color w:val="000000"/>
                <w:sz w:val="24"/>
                <w:szCs w:val="24"/>
              </w:rPr>
              <w:t xml:space="preserve">Mallra dhe </w:t>
            </w:r>
            <w:proofErr w:type="spellStart"/>
            <w:r w:rsidRPr="00C752F0">
              <w:rPr>
                <w:rFonts w:ascii="Times New Roman" w:eastAsia="Times New Roman" w:hAnsi="Times New Roman" w:cs="Times New Roman"/>
                <w:b/>
                <w:color w:val="000000"/>
                <w:sz w:val="24"/>
                <w:szCs w:val="24"/>
              </w:rPr>
              <w:t>sherbime</w:t>
            </w:r>
            <w:proofErr w:type="spellEnd"/>
          </w:p>
        </w:tc>
        <w:tc>
          <w:tcPr>
            <w:tcW w:w="1286" w:type="dxa"/>
            <w:shd w:val="clear" w:color="auto" w:fill="BDD6EE" w:themeFill="accent1" w:themeFillTint="66"/>
            <w:vAlign w:val="bottom"/>
            <w:hideMark/>
          </w:tcPr>
          <w:p w:rsidR="00D9504A" w:rsidRPr="00C752F0" w:rsidRDefault="00D9504A" w:rsidP="00D9504A">
            <w:pPr>
              <w:spacing w:after="0" w:line="240" w:lineRule="auto"/>
              <w:rPr>
                <w:rFonts w:ascii="Times New Roman" w:eastAsia="Times New Roman" w:hAnsi="Times New Roman" w:cs="Times New Roman"/>
                <w:b/>
                <w:color w:val="000000"/>
                <w:sz w:val="24"/>
                <w:szCs w:val="24"/>
              </w:rPr>
            </w:pPr>
            <w:r w:rsidRPr="00C752F0">
              <w:rPr>
                <w:rFonts w:ascii="Times New Roman" w:eastAsia="Times New Roman" w:hAnsi="Times New Roman" w:cs="Times New Roman"/>
                <w:b/>
                <w:color w:val="000000"/>
                <w:sz w:val="24"/>
                <w:szCs w:val="24"/>
              </w:rPr>
              <w:t>Shpenzime komunale</w:t>
            </w:r>
          </w:p>
        </w:tc>
        <w:tc>
          <w:tcPr>
            <w:tcW w:w="1453" w:type="dxa"/>
            <w:shd w:val="clear" w:color="auto" w:fill="BDD6EE" w:themeFill="accent1" w:themeFillTint="66"/>
            <w:vAlign w:val="bottom"/>
            <w:hideMark/>
          </w:tcPr>
          <w:p w:rsidR="00D9504A" w:rsidRPr="00C752F0" w:rsidRDefault="00D9504A" w:rsidP="00D9504A">
            <w:pPr>
              <w:spacing w:after="0" w:line="240" w:lineRule="auto"/>
              <w:rPr>
                <w:rFonts w:ascii="Times New Roman" w:eastAsia="Times New Roman" w:hAnsi="Times New Roman" w:cs="Times New Roman"/>
                <w:b/>
                <w:color w:val="000000"/>
                <w:sz w:val="24"/>
                <w:szCs w:val="24"/>
              </w:rPr>
            </w:pPr>
            <w:r w:rsidRPr="00C752F0">
              <w:rPr>
                <w:rFonts w:ascii="Times New Roman" w:eastAsia="Times New Roman" w:hAnsi="Times New Roman" w:cs="Times New Roman"/>
                <w:b/>
                <w:color w:val="000000"/>
                <w:sz w:val="24"/>
                <w:szCs w:val="24"/>
              </w:rPr>
              <w:t xml:space="preserve">Subvencione dhe </w:t>
            </w:r>
            <w:proofErr w:type="spellStart"/>
            <w:r w:rsidRPr="00C752F0">
              <w:rPr>
                <w:rFonts w:ascii="Times New Roman" w:eastAsia="Times New Roman" w:hAnsi="Times New Roman" w:cs="Times New Roman"/>
                <w:b/>
                <w:color w:val="000000"/>
                <w:sz w:val="24"/>
                <w:szCs w:val="24"/>
              </w:rPr>
              <w:t>transfere</w:t>
            </w:r>
            <w:proofErr w:type="spellEnd"/>
          </w:p>
        </w:tc>
        <w:tc>
          <w:tcPr>
            <w:tcW w:w="1420" w:type="dxa"/>
            <w:shd w:val="clear" w:color="auto" w:fill="BDD6EE" w:themeFill="accent1" w:themeFillTint="66"/>
            <w:vAlign w:val="bottom"/>
            <w:hideMark/>
          </w:tcPr>
          <w:p w:rsidR="00D9504A" w:rsidRPr="00C752F0" w:rsidRDefault="00D9504A" w:rsidP="00D9504A">
            <w:pPr>
              <w:spacing w:after="0" w:line="240" w:lineRule="auto"/>
              <w:rPr>
                <w:rFonts w:ascii="Times New Roman" w:eastAsia="Times New Roman" w:hAnsi="Times New Roman" w:cs="Times New Roman"/>
                <w:b/>
                <w:color w:val="000000"/>
                <w:sz w:val="24"/>
                <w:szCs w:val="24"/>
              </w:rPr>
            </w:pPr>
            <w:r w:rsidRPr="00C752F0">
              <w:rPr>
                <w:rFonts w:ascii="Times New Roman" w:eastAsia="Times New Roman" w:hAnsi="Times New Roman" w:cs="Times New Roman"/>
                <w:b/>
                <w:color w:val="000000"/>
                <w:sz w:val="24"/>
                <w:szCs w:val="24"/>
              </w:rPr>
              <w:t xml:space="preserve">Investime kapitale </w:t>
            </w:r>
          </w:p>
        </w:tc>
        <w:tc>
          <w:tcPr>
            <w:tcW w:w="1536" w:type="dxa"/>
            <w:shd w:val="clear" w:color="auto" w:fill="BDD6EE" w:themeFill="accent1" w:themeFillTint="66"/>
            <w:vAlign w:val="bottom"/>
            <w:hideMark/>
          </w:tcPr>
          <w:p w:rsidR="00D9504A" w:rsidRPr="00C752F0" w:rsidRDefault="00D9504A" w:rsidP="00D9504A">
            <w:pPr>
              <w:spacing w:after="0" w:line="240" w:lineRule="auto"/>
              <w:rPr>
                <w:rFonts w:ascii="Times New Roman" w:eastAsia="Times New Roman" w:hAnsi="Times New Roman" w:cs="Times New Roman"/>
                <w:b/>
                <w:bCs/>
                <w:color w:val="000000"/>
                <w:sz w:val="24"/>
                <w:szCs w:val="24"/>
              </w:rPr>
            </w:pPr>
            <w:r w:rsidRPr="00C752F0">
              <w:rPr>
                <w:rFonts w:ascii="Times New Roman" w:eastAsia="Times New Roman" w:hAnsi="Times New Roman" w:cs="Times New Roman"/>
                <w:b/>
                <w:bCs/>
                <w:color w:val="000000"/>
                <w:sz w:val="24"/>
                <w:szCs w:val="24"/>
              </w:rPr>
              <w:t>Totali i buxhetit  2025</w:t>
            </w:r>
          </w:p>
        </w:tc>
      </w:tr>
      <w:tr w:rsidR="000E1060" w:rsidRPr="00C752F0" w:rsidTr="000E1060">
        <w:trPr>
          <w:trHeight w:val="115"/>
        </w:trPr>
        <w:tc>
          <w:tcPr>
            <w:tcW w:w="756" w:type="dxa"/>
            <w:shd w:val="clear" w:color="auto" w:fill="auto"/>
            <w:noWrap/>
            <w:vAlign w:val="bottom"/>
            <w:hideMark/>
          </w:tcPr>
          <w:p w:rsidR="00D9504A" w:rsidRPr="00C752F0" w:rsidRDefault="00D9504A" w:rsidP="00D9504A">
            <w:pPr>
              <w:spacing w:after="0" w:line="240" w:lineRule="auto"/>
              <w:rPr>
                <w:rFonts w:ascii="Times New Roman" w:eastAsia="Times New Roman" w:hAnsi="Times New Roman" w:cs="Times New Roman"/>
                <w:b/>
                <w:bCs/>
                <w:color w:val="000000"/>
                <w:sz w:val="24"/>
                <w:szCs w:val="24"/>
              </w:rPr>
            </w:pPr>
          </w:p>
        </w:tc>
        <w:tc>
          <w:tcPr>
            <w:tcW w:w="2149" w:type="dxa"/>
            <w:shd w:val="clear" w:color="auto" w:fill="auto"/>
            <w:noWrap/>
            <w:vAlign w:val="bottom"/>
            <w:hideMark/>
          </w:tcPr>
          <w:p w:rsidR="00D9504A" w:rsidRPr="00C752F0" w:rsidRDefault="00D9504A" w:rsidP="00D9504A">
            <w:pPr>
              <w:spacing w:after="0" w:line="240" w:lineRule="auto"/>
              <w:jc w:val="center"/>
              <w:rPr>
                <w:rFonts w:ascii="Times New Roman" w:eastAsia="Times New Roman" w:hAnsi="Times New Roman" w:cs="Times New Roman"/>
                <w:sz w:val="20"/>
                <w:szCs w:val="20"/>
              </w:rPr>
            </w:pPr>
          </w:p>
        </w:tc>
        <w:tc>
          <w:tcPr>
            <w:tcW w:w="1420" w:type="dxa"/>
            <w:shd w:val="clear" w:color="auto" w:fill="auto"/>
            <w:noWrap/>
            <w:vAlign w:val="bottom"/>
            <w:hideMark/>
          </w:tcPr>
          <w:p w:rsidR="00D9504A" w:rsidRPr="00C752F0" w:rsidRDefault="00D9504A" w:rsidP="00D9504A">
            <w:pPr>
              <w:spacing w:after="0" w:line="240" w:lineRule="auto"/>
              <w:jc w:val="right"/>
              <w:rPr>
                <w:rFonts w:ascii="Times New Roman" w:eastAsia="Times New Roman" w:hAnsi="Times New Roman" w:cs="Times New Roman"/>
                <w:sz w:val="20"/>
                <w:szCs w:val="20"/>
              </w:rPr>
            </w:pPr>
          </w:p>
        </w:tc>
        <w:tc>
          <w:tcPr>
            <w:tcW w:w="1286" w:type="dxa"/>
            <w:shd w:val="clear" w:color="auto" w:fill="auto"/>
            <w:noWrap/>
            <w:vAlign w:val="bottom"/>
            <w:hideMark/>
          </w:tcPr>
          <w:p w:rsidR="00D9504A" w:rsidRPr="00C752F0" w:rsidRDefault="00D9504A" w:rsidP="00D9504A">
            <w:pPr>
              <w:spacing w:after="0" w:line="240" w:lineRule="auto"/>
              <w:jc w:val="right"/>
              <w:rPr>
                <w:rFonts w:ascii="Times New Roman" w:eastAsia="Times New Roman" w:hAnsi="Times New Roman" w:cs="Times New Roman"/>
                <w:sz w:val="20"/>
                <w:szCs w:val="20"/>
              </w:rPr>
            </w:pPr>
          </w:p>
        </w:tc>
        <w:tc>
          <w:tcPr>
            <w:tcW w:w="1453" w:type="dxa"/>
            <w:shd w:val="clear" w:color="auto" w:fill="auto"/>
            <w:noWrap/>
            <w:vAlign w:val="bottom"/>
            <w:hideMark/>
          </w:tcPr>
          <w:p w:rsidR="00D9504A" w:rsidRPr="00C752F0" w:rsidRDefault="00D9504A" w:rsidP="00D9504A">
            <w:pPr>
              <w:spacing w:after="0" w:line="240" w:lineRule="auto"/>
              <w:jc w:val="right"/>
              <w:rPr>
                <w:rFonts w:ascii="Times New Roman" w:eastAsia="Times New Roman" w:hAnsi="Times New Roman" w:cs="Times New Roman"/>
                <w:sz w:val="20"/>
                <w:szCs w:val="20"/>
              </w:rPr>
            </w:pPr>
          </w:p>
        </w:tc>
        <w:tc>
          <w:tcPr>
            <w:tcW w:w="1420" w:type="dxa"/>
            <w:shd w:val="clear" w:color="auto" w:fill="auto"/>
            <w:noWrap/>
            <w:vAlign w:val="bottom"/>
            <w:hideMark/>
          </w:tcPr>
          <w:p w:rsidR="00D9504A" w:rsidRPr="00C752F0" w:rsidRDefault="00D9504A" w:rsidP="00D9504A">
            <w:pPr>
              <w:spacing w:after="0" w:line="240" w:lineRule="auto"/>
              <w:jc w:val="right"/>
              <w:rPr>
                <w:rFonts w:ascii="Times New Roman" w:eastAsia="Times New Roman" w:hAnsi="Times New Roman" w:cs="Times New Roman"/>
                <w:sz w:val="20"/>
                <w:szCs w:val="20"/>
              </w:rPr>
            </w:pPr>
          </w:p>
        </w:tc>
        <w:tc>
          <w:tcPr>
            <w:tcW w:w="1536" w:type="dxa"/>
            <w:shd w:val="clear" w:color="auto" w:fill="auto"/>
            <w:noWrap/>
            <w:vAlign w:val="bottom"/>
            <w:hideMark/>
          </w:tcPr>
          <w:p w:rsidR="00D9504A" w:rsidRPr="00C752F0" w:rsidRDefault="00D9504A" w:rsidP="00D9504A">
            <w:pPr>
              <w:spacing w:after="0" w:line="240" w:lineRule="auto"/>
              <w:jc w:val="right"/>
              <w:rPr>
                <w:rFonts w:ascii="Times New Roman" w:eastAsia="Times New Roman" w:hAnsi="Times New Roman" w:cs="Times New Roman"/>
                <w:sz w:val="20"/>
                <w:szCs w:val="20"/>
              </w:rPr>
            </w:pPr>
          </w:p>
        </w:tc>
      </w:tr>
      <w:tr w:rsidR="000E1060" w:rsidRPr="00C752F0" w:rsidTr="000E1060">
        <w:trPr>
          <w:trHeight w:val="498"/>
        </w:trPr>
        <w:tc>
          <w:tcPr>
            <w:tcW w:w="756" w:type="dxa"/>
            <w:shd w:val="clear" w:color="auto" w:fill="auto"/>
            <w:noWrap/>
            <w:vAlign w:val="bottom"/>
            <w:hideMark/>
          </w:tcPr>
          <w:p w:rsidR="00D9504A" w:rsidRPr="00C752F0" w:rsidRDefault="00D9504A" w:rsidP="00D9504A">
            <w:pPr>
              <w:spacing w:after="0" w:line="240" w:lineRule="auto"/>
              <w:jc w:val="center"/>
              <w:rPr>
                <w:rFonts w:ascii="Times New Roman" w:eastAsia="Times New Roman" w:hAnsi="Times New Roman" w:cs="Times New Roman"/>
                <w:color w:val="000000"/>
                <w:sz w:val="24"/>
                <w:szCs w:val="24"/>
              </w:rPr>
            </w:pPr>
            <w:r w:rsidRPr="00C752F0">
              <w:rPr>
                <w:rFonts w:ascii="Times New Roman" w:eastAsia="Times New Roman" w:hAnsi="Times New Roman" w:cs="Times New Roman"/>
                <w:color w:val="000000"/>
                <w:sz w:val="24"/>
                <w:szCs w:val="24"/>
              </w:rPr>
              <w:t>897</w:t>
            </w:r>
          </w:p>
        </w:tc>
        <w:tc>
          <w:tcPr>
            <w:tcW w:w="2149" w:type="dxa"/>
            <w:shd w:val="clear" w:color="auto" w:fill="auto"/>
            <w:noWrap/>
            <w:vAlign w:val="bottom"/>
            <w:hideMark/>
          </w:tcPr>
          <w:p w:rsidR="00D9504A" w:rsidRPr="00C752F0" w:rsidRDefault="00D9504A" w:rsidP="00D9504A">
            <w:pPr>
              <w:spacing w:after="0" w:line="240" w:lineRule="auto"/>
              <w:rPr>
                <w:rFonts w:ascii="Times New Roman" w:eastAsia="Times New Roman" w:hAnsi="Times New Roman" w:cs="Times New Roman"/>
                <w:color w:val="000000"/>
                <w:sz w:val="24"/>
                <w:szCs w:val="24"/>
              </w:rPr>
            </w:pPr>
            <w:r w:rsidRPr="00C752F0">
              <w:rPr>
                <w:rFonts w:ascii="Times New Roman" w:eastAsia="Times New Roman" w:hAnsi="Times New Roman" w:cs="Times New Roman"/>
                <w:color w:val="000000"/>
                <w:sz w:val="24"/>
                <w:szCs w:val="24"/>
              </w:rPr>
              <w:t xml:space="preserve">         7,606,274.00 </w:t>
            </w:r>
          </w:p>
        </w:tc>
        <w:tc>
          <w:tcPr>
            <w:tcW w:w="1420" w:type="dxa"/>
            <w:shd w:val="clear" w:color="auto" w:fill="auto"/>
            <w:noWrap/>
            <w:vAlign w:val="bottom"/>
            <w:hideMark/>
          </w:tcPr>
          <w:p w:rsidR="00D9504A" w:rsidRPr="00C752F0" w:rsidRDefault="00D9504A" w:rsidP="00D9504A">
            <w:pPr>
              <w:spacing w:after="0" w:line="240" w:lineRule="auto"/>
              <w:rPr>
                <w:rFonts w:ascii="Times New Roman" w:eastAsia="Times New Roman" w:hAnsi="Times New Roman" w:cs="Times New Roman"/>
                <w:color w:val="000000"/>
                <w:sz w:val="24"/>
                <w:szCs w:val="24"/>
              </w:rPr>
            </w:pPr>
            <w:r w:rsidRPr="00C752F0">
              <w:rPr>
                <w:rFonts w:ascii="Times New Roman" w:eastAsia="Times New Roman" w:hAnsi="Times New Roman" w:cs="Times New Roman"/>
                <w:color w:val="000000"/>
                <w:sz w:val="24"/>
                <w:szCs w:val="24"/>
              </w:rPr>
              <w:t xml:space="preserve">             2,650,000.00 </w:t>
            </w:r>
          </w:p>
        </w:tc>
        <w:tc>
          <w:tcPr>
            <w:tcW w:w="1286" w:type="dxa"/>
            <w:shd w:val="clear" w:color="auto" w:fill="auto"/>
            <w:noWrap/>
            <w:vAlign w:val="bottom"/>
            <w:hideMark/>
          </w:tcPr>
          <w:p w:rsidR="00D9504A" w:rsidRPr="00C752F0" w:rsidRDefault="00D9504A" w:rsidP="00D9504A">
            <w:pPr>
              <w:spacing w:after="0" w:line="240" w:lineRule="auto"/>
              <w:rPr>
                <w:rFonts w:ascii="Times New Roman" w:eastAsia="Times New Roman" w:hAnsi="Times New Roman" w:cs="Times New Roman"/>
                <w:color w:val="000000"/>
                <w:sz w:val="24"/>
                <w:szCs w:val="24"/>
              </w:rPr>
            </w:pPr>
            <w:r w:rsidRPr="00C752F0">
              <w:rPr>
                <w:rFonts w:ascii="Times New Roman" w:eastAsia="Times New Roman" w:hAnsi="Times New Roman" w:cs="Times New Roman"/>
                <w:color w:val="000000"/>
                <w:sz w:val="24"/>
                <w:szCs w:val="24"/>
              </w:rPr>
              <w:t xml:space="preserve">                  250,000.00 </w:t>
            </w:r>
          </w:p>
        </w:tc>
        <w:tc>
          <w:tcPr>
            <w:tcW w:w="1453" w:type="dxa"/>
            <w:shd w:val="clear" w:color="auto" w:fill="auto"/>
            <w:noWrap/>
            <w:vAlign w:val="bottom"/>
            <w:hideMark/>
          </w:tcPr>
          <w:p w:rsidR="00D9504A" w:rsidRPr="00C752F0" w:rsidRDefault="00D9504A" w:rsidP="00D9504A">
            <w:pPr>
              <w:spacing w:after="0" w:line="240" w:lineRule="auto"/>
              <w:rPr>
                <w:rFonts w:ascii="Times New Roman" w:eastAsia="Times New Roman" w:hAnsi="Times New Roman" w:cs="Times New Roman"/>
                <w:color w:val="000000"/>
                <w:sz w:val="24"/>
                <w:szCs w:val="24"/>
              </w:rPr>
            </w:pPr>
            <w:r w:rsidRPr="00C752F0">
              <w:rPr>
                <w:rFonts w:ascii="Times New Roman" w:eastAsia="Times New Roman" w:hAnsi="Times New Roman" w:cs="Times New Roman"/>
                <w:color w:val="000000"/>
                <w:sz w:val="24"/>
                <w:szCs w:val="24"/>
              </w:rPr>
              <w:t xml:space="preserve">                     350,000.00 </w:t>
            </w:r>
          </w:p>
        </w:tc>
        <w:tc>
          <w:tcPr>
            <w:tcW w:w="1420" w:type="dxa"/>
            <w:shd w:val="clear" w:color="auto" w:fill="auto"/>
            <w:noWrap/>
            <w:vAlign w:val="bottom"/>
            <w:hideMark/>
          </w:tcPr>
          <w:p w:rsidR="00D9504A" w:rsidRPr="00C752F0" w:rsidRDefault="00D9504A" w:rsidP="00D9504A">
            <w:pPr>
              <w:spacing w:after="0" w:line="240" w:lineRule="auto"/>
              <w:rPr>
                <w:rFonts w:ascii="Times New Roman" w:eastAsia="Times New Roman" w:hAnsi="Times New Roman" w:cs="Times New Roman"/>
                <w:color w:val="000000"/>
                <w:sz w:val="24"/>
                <w:szCs w:val="24"/>
              </w:rPr>
            </w:pPr>
            <w:r w:rsidRPr="00C752F0">
              <w:rPr>
                <w:rFonts w:ascii="Times New Roman" w:eastAsia="Times New Roman" w:hAnsi="Times New Roman" w:cs="Times New Roman"/>
                <w:color w:val="000000"/>
                <w:sz w:val="24"/>
                <w:szCs w:val="24"/>
              </w:rPr>
              <w:t xml:space="preserve">          3,545,661.00 </w:t>
            </w:r>
          </w:p>
        </w:tc>
        <w:tc>
          <w:tcPr>
            <w:tcW w:w="1536" w:type="dxa"/>
            <w:shd w:val="clear" w:color="auto" w:fill="auto"/>
            <w:noWrap/>
            <w:vAlign w:val="bottom"/>
            <w:hideMark/>
          </w:tcPr>
          <w:p w:rsidR="00D9504A" w:rsidRPr="00C752F0" w:rsidRDefault="00D9504A" w:rsidP="00D9504A">
            <w:pPr>
              <w:spacing w:after="0" w:line="240" w:lineRule="auto"/>
              <w:rPr>
                <w:rFonts w:ascii="Times New Roman" w:eastAsia="Times New Roman" w:hAnsi="Times New Roman" w:cs="Times New Roman"/>
                <w:b/>
                <w:bCs/>
                <w:color w:val="000000"/>
                <w:sz w:val="24"/>
                <w:szCs w:val="24"/>
              </w:rPr>
            </w:pPr>
            <w:r w:rsidRPr="00C752F0">
              <w:rPr>
                <w:rFonts w:ascii="Times New Roman" w:eastAsia="Times New Roman" w:hAnsi="Times New Roman" w:cs="Times New Roman"/>
                <w:b/>
                <w:bCs/>
                <w:color w:val="000000"/>
                <w:sz w:val="24"/>
                <w:szCs w:val="24"/>
              </w:rPr>
              <w:t xml:space="preserve">  14,401,935.00 </w:t>
            </w:r>
          </w:p>
        </w:tc>
      </w:tr>
    </w:tbl>
    <w:p w:rsidR="001D172E" w:rsidRPr="00C752F0" w:rsidRDefault="001D172E" w:rsidP="000E1060">
      <w:pPr>
        <w:spacing w:after="0" w:line="276" w:lineRule="auto"/>
        <w:rPr>
          <w:rFonts w:ascii="Times New Roman" w:eastAsia="MS Mincho" w:hAnsi="Times New Roman" w:cs="Times New Roman"/>
          <w:sz w:val="24"/>
          <w:szCs w:val="24"/>
        </w:rPr>
      </w:pPr>
    </w:p>
    <w:p w:rsidR="00E269EE" w:rsidRPr="00120F2B" w:rsidRDefault="00E269EE" w:rsidP="00120F2B">
      <w:pPr>
        <w:pStyle w:val="Heading4"/>
        <w:rPr>
          <w:b/>
          <w:color w:val="auto"/>
        </w:rPr>
      </w:pPr>
    </w:p>
    <w:p w:rsidR="00992507" w:rsidRPr="00120F2B" w:rsidRDefault="00E269EE" w:rsidP="00120F2B">
      <w:pPr>
        <w:pStyle w:val="Heading4"/>
        <w:rPr>
          <w:b/>
          <w:color w:val="auto"/>
          <w:sz w:val="24"/>
          <w:szCs w:val="24"/>
        </w:rPr>
      </w:pPr>
      <w:r w:rsidRPr="00120F2B">
        <w:rPr>
          <w:b/>
          <w:color w:val="auto"/>
        </w:rPr>
        <w:t>Tabela 2. Planifikimi i Buxhetit 2025 dhe Shpenzimi sipas Kategorive Ekonomike</w:t>
      </w:r>
    </w:p>
    <w:tbl>
      <w:tblPr>
        <w:tblpPr w:leftFromText="180" w:rightFromText="180" w:vertAnchor="text" w:tblpY="1"/>
        <w:tblOverlap w:val="never"/>
        <w:tblW w:w="10358" w:type="dxa"/>
        <w:tblLook w:val="04A0" w:firstRow="1" w:lastRow="0" w:firstColumn="1" w:lastColumn="0" w:noHBand="0" w:noVBand="1"/>
      </w:tblPr>
      <w:tblGrid>
        <w:gridCol w:w="2431"/>
        <w:gridCol w:w="1845"/>
        <w:gridCol w:w="1845"/>
        <w:gridCol w:w="2265"/>
        <w:gridCol w:w="1701"/>
        <w:gridCol w:w="271"/>
      </w:tblGrid>
      <w:tr w:rsidR="00992507" w:rsidRPr="00C752F0" w:rsidTr="00992507">
        <w:trPr>
          <w:trHeight w:val="302"/>
        </w:trPr>
        <w:tc>
          <w:tcPr>
            <w:tcW w:w="2431" w:type="dxa"/>
            <w:tcBorders>
              <w:top w:val="single" w:sz="8" w:space="0" w:color="auto"/>
              <w:left w:val="single" w:sz="8" w:space="0" w:color="auto"/>
              <w:bottom w:val="single" w:sz="8" w:space="0" w:color="auto"/>
              <w:right w:val="single" w:sz="4" w:space="0" w:color="auto"/>
            </w:tcBorders>
            <w:shd w:val="clear" w:color="auto" w:fill="9CC2E5" w:themeFill="accent1" w:themeFillTint="99"/>
            <w:noWrap/>
            <w:vAlign w:val="bottom"/>
            <w:hideMark/>
          </w:tcPr>
          <w:p w:rsidR="00992507" w:rsidRPr="00C752F0" w:rsidRDefault="00992507" w:rsidP="00F7538E">
            <w:pPr>
              <w:spacing w:after="0" w:line="240" w:lineRule="auto"/>
              <w:jc w:val="cente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PERSHKRIMI</w:t>
            </w:r>
          </w:p>
        </w:tc>
        <w:tc>
          <w:tcPr>
            <w:tcW w:w="1845" w:type="dxa"/>
            <w:tcBorders>
              <w:top w:val="single" w:sz="8" w:space="0" w:color="auto"/>
              <w:left w:val="nil"/>
              <w:bottom w:val="single" w:sz="8" w:space="0" w:color="auto"/>
              <w:right w:val="single" w:sz="4" w:space="0" w:color="auto"/>
            </w:tcBorders>
            <w:shd w:val="clear" w:color="auto" w:fill="9CC2E5" w:themeFill="accent1" w:themeFillTint="99"/>
            <w:noWrap/>
            <w:vAlign w:val="bottom"/>
            <w:hideMark/>
          </w:tcPr>
          <w:p w:rsidR="00992507" w:rsidRPr="00C752F0" w:rsidRDefault="00992507" w:rsidP="00F7538E">
            <w:pPr>
              <w:spacing w:after="0" w:line="240" w:lineRule="auto"/>
              <w:jc w:val="cente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BUXHETI FINAL</w:t>
            </w:r>
          </w:p>
        </w:tc>
        <w:tc>
          <w:tcPr>
            <w:tcW w:w="1845" w:type="dxa"/>
            <w:tcBorders>
              <w:top w:val="single" w:sz="8" w:space="0" w:color="auto"/>
              <w:left w:val="nil"/>
              <w:bottom w:val="single" w:sz="8" w:space="0" w:color="auto"/>
              <w:right w:val="single" w:sz="4" w:space="0" w:color="auto"/>
            </w:tcBorders>
            <w:shd w:val="clear" w:color="auto" w:fill="9CC2E5" w:themeFill="accent1" w:themeFillTint="99"/>
            <w:noWrap/>
            <w:vAlign w:val="bottom"/>
            <w:hideMark/>
          </w:tcPr>
          <w:p w:rsidR="00992507" w:rsidRPr="00C752F0" w:rsidRDefault="00992507" w:rsidP="00F7538E">
            <w:pPr>
              <w:spacing w:after="0" w:line="240" w:lineRule="auto"/>
              <w:jc w:val="cente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SHPENZIMI</w:t>
            </w:r>
          </w:p>
        </w:tc>
        <w:tc>
          <w:tcPr>
            <w:tcW w:w="2265" w:type="dxa"/>
            <w:tcBorders>
              <w:top w:val="single" w:sz="8" w:space="0" w:color="auto"/>
              <w:left w:val="nil"/>
              <w:bottom w:val="single" w:sz="8" w:space="0" w:color="auto"/>
              <w:right w:val="single" w:sz="8" w:space="0" w:color="auto"/>
            </w:tcBorders>
            <w:shd w:val="clear" w:color="auto" w:fill="9CC2E5" w:themeFill="accent1" w:themeFillTint="99"/>
            <w:noWrap/>
            <w:vAlign w:val="bottom"/>
            <w:hideMark/>
          </w:tcPr>
          <w:p w:rsidR="00992507" w:rsidRPr="00C752F0" w:rsidRDefault="00992507" w:rsidP="00F7538E">
            <w:pPr>
              <w:spacing w:after="0" w:line="240" w:lineRule="auto"/>
              <w:jc w:val="cente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DIFERENCA</w:t>
            </w:r>
          </w:p>
        </w:tc>
        <w:tc>
          <w:tcPr>
            <w:tcW w:w="1701" w:type="dxa"/>
            <w:tcBorders>
              <w:top w:val="nil"/>
              <w:left w:val="nil"/>
              <w:bottom w:val="nil"/>
              <w:right w:val="nil"/>
            </w:tcBorders>
            <w:shd w:val="clear" w:color="auto" w:fill="9CC2E5" w:themeFill="accent1" w:themeFillTint="99"/>
            <w:noWrap/>
            <w:vAlign w:val="bottom"/>
            <w:hideMark/>
          </w:tcPr>
          <w:p w:rsidR="00992507" w:rsidRPr="00C752F0" w:rsidRDefault="00992507" w:rsidP="00F7538E">
            <w:pPr>
              <w:spacing w:after="0" w:line="240" w:lineRule="auto"/>
              <w:jc w:val="cente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SHPENZIMI NË %</w:t>
            </w:r>
          </w:p>
        </w:tc>
        <w:tc>
          <w:tcPr>
            <w:tcW w:w="271" w:type="dxa"/>
            <w:tcBorders>
              <w:top w:val="nil"/>
              <w:left w:val="nil"/>
              <w:bottom w:val="nil"/>
              <w:right w:val="nil"/>
            </w:tcBorders>
            <w:shd w:val="clear" w:color="auto" w:fill="auto"/>
            <w:noWrap/>
            <w:vAlign w:val="bottom"/>
            <w:hideMark/>
          </w:tcPr>
          <w:p w:rsidR="00992507" w:rsidRPr="00C752F0" w:rsidRDefault="00992507" w:rsidP="00F7538E">
            <w:pPr>
              <w:spacing w:after="0" w:line="240" w:lineRule="auto"/>
              <w:jc w:val="center"/>
              <w:rPr>
                <w:rFonts w:ascii="Times New Roman" w:eastAsia="Times New Roman" w:hAnsi="Times New Roman" w:cs="Times New Roman"/>
                <w:b/>
                <w:bCs/>
                <w:color w:val="000000"/>
              </w:rPr>
            </w:pPr>
          </w:p>
        </w:tc>
      </w:tr>
      <w:tr w:rsidR="00992507" w:rsidRPr="00C752F0" w:rsidTr="00992507">
        <w:trPr>
          <w:trHeight w:val="302"/>
        </w:trPr>
        <w:tc>
          <w:tcPr>
            <w:tcW w:w="2431" w:type="dxa"/>
            <w:tcBorders>
              <w:top w:val="nil"/>
              <w:left w:val="single" w:sz="8" w:space="0" w:color="auto"/>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lastRenderedPageBreak/>
              <w:t>GRANT QEVERITAR (10)</w:t>
            </w:r>
          </w:p>
        </w:tc>
        <w:tc>
          <w:tcPr>
            <w:tcW w:w="1845" w:type="dxa"/>
            <w:tcBorders>
              <w:top w:val="nil"/>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13,845,995.32 </w:t>
            </w:r>
          </w:p>
        </w:tc>
        <w:tc>
          <w:tcPr>
            <w:tcW w:w="1845" w:type="dxa"/>
            <w:tcBorders>
              <w:top w:val="nil"/>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13,808,008.25 </w:t>
            </w:r>
          </w:p>
        </w:tc>
        <w:tc>
          <w:tcPr>
            <w:tcW w:w="2265" w:type="dxa"/>
            <w:tcBorders>
              <w:top w:val="nil"/>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(37,987.07)</w:t>
            </w:r>
          </w:p>
        </w:tc>
        <w:tc>
          <w:tcPr>
            <w:tcW w:w="1701" w:type="dxa"/>
            <w:tcBorders>
              <w:top w:val="nil"/>
              <w:left w:val="nil"/>
              <w:bottom w:val="nil"/>
              <w:right w:val="nil"/>
            </w:tcBorders>
            <w:shd w:val="clear" w:color="auto" w:fill="DEEAF6" w:themeFill="accent1" w:themeFillTint="33"/>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99.73%</w:t>
            </w: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p>
        </w:tc>
      </w:tr>
      <w:tr w:rsidR="00992507" w:rsidRPr="00C752F0" w:rsidTr="00992507">
        <w:trPr>
          <w:trHeight w:val="288"/>
        </w:trPr>
        <w:tc>
          <w:tcPr>
            <w:tcW w:w="2431" w:type="dxa"/>
            <w:tcBorders>
              <w:top w:val="nil"/>
              <w:left w:val="single" w:sz="4" w:space="0" w:color="auto"/>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PAGAT DHE SHTESAT</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7,950,905.32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7,950,905.32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288"/>
        </w:trPr>
        <w:tc>
          <w:tcPr>
            <w:tcW w:w="2431" w:type="dxa"/>
            <w:tcBorders>
              <w:top w:val="nil"/>
              <w:left w:val="single" w:sz="4" w:space="0" w:color="auto"/>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MALLRA DHE SHERBIME</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2,379,429.00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2,375,954.58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(3,474.42)</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288"/>
        </w:trPr>
        <w:tc>
          <w:tcPr>
            <w:tcW w:w="2431" w:type="dxa"/>
            <w:tcBorders>
              <w:top w:val="nil"/>
              <w:left w:val="single" w:sz="4" w:space="0" w:color="auto"/>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SHPENZIME KOMUNALE</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250,000.00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249,996.69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(3.31)</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288"/>
        </w:trPr>
        <w:tc>
          <w:tcPr>
            <w:tcW w:w="2431" w:type="dxa"/>
            <w:tcBorders>
              <w:top w:val="nil"/>
              <w:left w:val="single" w:sz="4" w:space="0" w:color="auto"/>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SUBVENCIONE DHE TRANSFERE</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290,000.00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289,708.79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(291.21)</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nil"/>
              <w:left w:val="single" w:sz="4" w:space="0" w:color="auto"/>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INVESTIMET KAPITALE</w:t>
            </w:r>
          </w:p>
        </w:tc>
        <w:tc>
          <w:tcPr>
            <w:tcW w:w="1845" w:type="dxa"/>
            <w:tcBorders>
              <w:top w:val="nil"/>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2,975,661.00 </w:t>
            </w:r>
          </w:p>
        </w:tc>
        <w:tc>
          <w:tcPr>
            <w:tcW w:w="1845" w:type="dxa"/>
            <w:tcBorders>
              <w:top w:val="nil"/>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2,941,442.87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(34,218.13)</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single" w:sz="8" w:space="0" w:color="auto"/>
              <w:left w:val="single" w:sz="8" w:space="0" w:color="auto"/>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TE HYRA VETANAKE (21)</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900,571.00 </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889,768.31 </w:t>
            </w:r>
          </w:p>
        </w:tc>
        <w:tc>
          <w:tcPr>
            <w:tcW w:w="2265" w:type="dxa"/>
            <w:tcBorders>
              <w:top w:val="single" w:sz="8" w:space="0" w:color="auto"/>
              <w:left w:val="nil"/>
              <w:bottom w:val="single" w:sz="8" w:space="0" w:color="auto"/>
              <w:right w:val="single" w:sz="8"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(10,802.69)</w:t>
            </w:r>
          </w:p>
        </w:tc>
        <w:tc>
          <w:tcPr>
            <w:tcW w:w="1701" w:type="dxa"/>
            <w:tcBorders>
              <w:top w:val="nil"/>
              <w:left w:val="nil"/>
              <w:bottom w:val="nil"/>
              <w:right w:val="nil"/>
            </w:tcBorders>
            <w:shd w:val="clear" w:color="auto" w:fill="DEEAF6" w:themeFill="accent1" w:themeFillTint="33"/>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98.80%</w:t>
            </w: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p>
        </w:tc>
      </w:tr>
      <w:tr w:rsidR="00992507" w:rsidRPr="00C752F0" w:rsidTr="00992507">
        <w:trPr>
          <w:trHeight w:val="288"/>
        </w:trPr>
        <w:tc>
          <w:tcPr>
            <w:tcW w:w="2431" w:type="dxa"/>
            <w:tcBorders>
              <w:top w:val="nil"/>
              <w:left w:val="single" w:sz="4" w:space="0" w:color="auto"/>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MALLRA DHE SHERBIME</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270,571.00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260,521.00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(10,050.00)</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288"/>
        </w:trPr>
        <w:tc>
          <w:tcPr>
            <w:tcW w:w="2431" w:type="dxa"/>
            <w:tcBorders>
              <w:top w:val="nil"/>
              <w:left w:val="single" w:sz="4" w:space="0" w:color="auto"/>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SUBVENCIONE DHE TRANSFERE</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60,000.00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59,815.22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(184.78)</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nil"/>
              <w:left w:val="single" w:sz="4" w:space="0" w:color="auto"/>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INVESTIMET KAPITALE</w:t>
            </w:r>
          </w:p>
        </w:tc>
        <w:tc>
          <w:tcPr>
            <w:tcW w:w="1845" w:type="dxa"/>
            <w:tcBorders>
              <w:top w:val="nil"/>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570,000.00 </w:t>
            </w:r>
          </w:p>
        </w:tc>
        <w:tc>
          <w:tcPr>
            <w:tcW w:w="1845" w:type="dxa"/>
            <w:tcBorders>
              <w:top w:val="nil"/>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569,432.09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(567.91)</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single" w:sz="8" w:space="0" w:color="auto"/>
              <w:left w:val="single" w:sz="8" w:space="0" w:color="auto"/>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TE HYRA VETANAKE (22)</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320,324.76 </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320,320.03 </w:t>
            </w:r>
          </w:p>
        </w:tc>
        <w:tc>
          <w:tcPr>
            <w:tcW w:w="226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(4.73)</w:t>
            </w:r>
          </w:p>
        </w:tc>
        <w:tc>
          <w:tcPr>
            <w:tcW w:w="1701" w:type="dxa"/>
            <w:tcBorders>
              <w:top w:val="nil"/>
              <w:left w:val="nil"/>
              <w:bottom w:val="nil"/>
              <w:right w:val="nil"/>
            </w:tcBorders>
            <w:shd w:val="clear" w:color="auto" w:fill="DEEAF6" w:themeFill="accent1" w:themeFillTint="33"/>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99.99%</w:t>
            </w: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p>
        </w:tc>
      </w:tr>
      <w:tr w:rsidR="00992507" w:rsidRPr="00C752F0" w:rsidTr="00992507">
        <w:trPr>
          <w:trHeight w:val="288"/>
        </w:trPr>
        <w:tc>
          <w:tcPr>
            <w:tcW w:w="2431" w:type="dxa"/>
            <w:tcBorders>
              <w:top w:val="nil"/>
              <w:left w:val="single" w:sz="4" w:space="0" w:color="auto"/>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MALLRA DHE SHERBIME</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190,324.76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190,320.03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(4.73)</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288"/>
        </w:trPr>
        <w:tc>
          <w:tcPr>
            <w:tcW w:w="2431" w:type="dxa"/>
            <w:tcBorders>
              <w:top w:val="nil"/>
              <w:left w:val="single" w:sz="4" w:space="0" w:color="auto"/>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SUBVENCIONE DHE TRANSFERE</w:t>
            </w:r>
          </w:p>
        </w:tc>
        <w:tc>
          <w:tcPr>
            <w:tcW w:w="1845" w:type="dxa"/>
            <w:tcBorders>
              <w:top w:val="nil"/>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30,000.00 </w:t>
            </w:r>
          </w:p>
        </w:tc>
        <w:tc>
          <w:tcPr>
            <w:tcW w:w="1845" w:type="dxa"/>
            <w:tcBorders>
              <w:top w:val="nil"/>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30,000.00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single" w:sz="4" w:space="0" w:color="auto"/>
              <w:left w:val="single" w:sz="4" w:space="0" w:color="auto"/>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INVESTIMET KAPITALE</w:t>
            </w:r>
          </w:p>
        </w:tc>
        <w:tc>
          <w:tcPr>
            <w:tcW w:w="1845" w:type="dxa"/>
            <w:tcBorders>
              <w:top w:val="single" w:sz="4" w:space="0" w:color="auto"/>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100,000.00 </w:t>
            </w:r>
          </w:p>
        </w:tc>
        <w:tc>
          <w:tcPr>
            <w:tcW w:w="1845" w:type="dxa"/>
            <w:tcBorders>
              <w:top w:val="single" w:sz="4" w:space="0" w:color="auto"/>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100,000.00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single" w:sz="8" w:space="0" w:color="auto"/>
              <w:left w:val="single" w:sz="8" w:space="0" w:color="auto"/>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sz w:val="20"/>
                <w:szCs w:val="20"/>
              </w:rPr>
            </w:pPr>
            <w:r w:rsidRPr="00C752F0">
              <w:rPr>
                <w:rFonts w:ascii="Times New Roman" w:eastAsia="Times New Roman" w:hAnsi="Times New Roman" w:cs="Times New Roman"/>
                <w:b/>
                <w:bCs/>
                <w:color w:val="000000"/>
                <w:sz w:val="20"/>
                <w:szCs w:val="20"/>
              </w:rPr>
              <w:t>GRANT I DONAT.TË BRENDSHËM (31)</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16,027.70 </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   </w:t>
            </w:r>
          </w:p>
        </w:tc>
        <w:tc>
          <w:tcPr>
            <w:tcW w:w="226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(16,027.70)</w:t>
            </w:r>
          </w:p>
        </w:tc>
        <w:tc>
          <w:tcPr>
            <w:tcW w:w="1701" w:type="dxa"/>
            <w:tcBorders>
              <w:top w:val="nil"/>
              <w:left w:val="nil"/>
              <w:bottom w:val="nil"/>
              <w:right w:val="nil"/>
            </w:tcBorders>
            <w:shd w:val="clear" w:color="auto" w:fill="DEEAF6" w:themeFill="accent1" w:themeFillTint="33"/>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0</w:t>
            </w: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p>
        </w:tc>
      </w:tr>
      <w:tr w:rsidR="00992507" w:rsidRPr="00C752F0" w:rsidTr="00992507">
        <w:trPr>
          <w:trHeight w:val="288"/>
        </w:trPr>
        <w:tc>
          <w:tcPr>
            <w:tcW w:w="2431" w:type="dxa"/>
            <w:tcBorders>
              <w:top w:val="nil"/>
              <w:left w:val="single" w:sz="4" w:space="0" w:color="auto"/>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MALLRA DHE SHERBIME</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4.00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(4.00)</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nil"/>
              <w:left w:val="single" w:sz="4" w:space="0" w:color="auto"/>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INVESTIMET KAPITALE</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16,023.70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(16,023.70)</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single" w:sz="8" w:space="0" w:color="auto"/>
              <w:left w:val="single" w:sz="8" w:space="0" w:color="auto"/>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GRANTE TJERA TË JASHTME (32)</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974.50 </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   </w:t>
            </w:r>
          </w:p>
        </w:tc>
        <w:tc>
          <w:tcPr>
            <w:tcW w:w="226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(974.50)</w:t>
            </w:r>
          </w:p>
        </w:tc>
        <w:tc>
          <w:tcPr>
            <w:tcW w:w="1701" w:type="dxa"/>
            <w:tcBorders>
              <w:top w:val="nil"/>
              <w:left w:val="nil"/>
              <w:bottom w:val="nil"/>
              <w:right w:val="nil"/>
            </w:tcBorders>
            <w:shd w:val="clear" w:color="auto" w:fill="DEEAF6" w:themeFill="accent1" w:themeFillTint="33"/>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0</w:t>
            </w: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p>
        </w:tc>
      </w:tr>
      <w:tr w:rsidR="00992507" w:rsidRPr="00C752F0" w:rsidTr="00992507">
        <w:trPr>
          <w:trHeight w:val="302"/>
        </w:trPr>
        <w:tc>
          <w:tcPr>
            <w:tcW w:w="2431" w:type="dxa"/>
            <w:tcBorders>
              <w:top w:val="nil"/>
              <w:left w:val="single" w:sz="4" w:space="0" w:color="auto"/>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MALLRA DHE SHERBIME</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974.50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(974.50)</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single" w:sz="8" w:space="0" w:color="auto"/>
              <w:left w:val="single" w:sz="8" w:space="0" w:color="auto"/>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QEVERIA NORVEGJEZE (57)</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7.98 </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   </w:t>
            </w:r>
          </w:p>
        </w:tc>
        <w:tc>
          <w:tcPr>
            <w:tcW w:w="226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(7.98)</w:t>
            </w:r>
          </w:p>
        </w:tc>
        <w:tc>
          <w:tcPr>
            <w:tcW w:w="1701" w:type="dxa"/>
            <w:tcBorders>
              <w:top w:val="nil"/>
              <w:left w:val="nil"/>
              <w:bottom w:val="nil"/>
              <w:right w:val="nil"/>
            </w:tcBorders>
            <w:shd w:val="clear" w:color="auto" w:fill="DEEAF6" w:themeFill="accent1" w:themeFillTint="33"/>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0</w:t>
            </w: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p>
        </w:tc>
      </w:tr>
      <w:tr w:rsidR="00992507" w:rsidRPr="00C752F0" w:rsidTr="00992507">
        <w:trPr>
          <w:trHeight w:val="302"/>
        </w:trPr>
        <w:tc>
          <w:tcPr>
            <w:tcW w:w="2431" w:type="dxa"/>
            <w:tcBorders>
              <w:top w:val="single" w:sz="4" w:space="0" w:color="auto"/>
              <w:left w:val="single" w:sz="4" w:space="0" w:color="auto"/>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INVESTIMET KAPITALE</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7.98 </w:t>
            </w:r>
          </w:p>
        </w:tc>
        <w:tc>
          <w:tcPr>
            <w:tcW w:w="184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(7.98)</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single" w:sz="8" w:space="0" w:color="auto"/>
              <w:left w:val="single" w:sz="8" w:space="0" w:color="auto"/>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QEVERIA JAPONEZE (59)</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   </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   </w:t>
            </w:r>
          </w:p>
        </w:tc>
        <w:tc>
          <w:tcPr>
            <w:tcW w:w="226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   </w:t>
            </w:r>
          </w:p>
        </w:tc>
        <w:tc>
          <w:tcPr>
            <w:tcW w:w="1701" w:type="dxa"/>
            <w:tcBorders>
              <w:top w:val="nil"/>
              <w:left w:val="nil"/>
              <w:bottom w:val="nil"/>
              <w:right w:val="nil"/>
            </w:tcBorders>
            <w:shd w:val="clear" w:color="auto" w:fill="DEEAF6" w:themeFill="accent1" w:themeFillTint="33"/>
            <w:noWrap/>
            <w:vAlign w:val="bottom"/>
            <w:hideMark/>
          </w:tcPr>
          <w:p w:rsidR="00992507" w:rsidRPr="00C752F0" w:rsidRDefault="00992507" w:rsidP="00992507">
            <w:pPr>
              <w:spacing w:after="0" w:line="240" w:lineRule="auto"/>
              <w:jc w:val="center"/>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jc w:val="center"/>
              <w:rPr>
                <w:rFonts w:ascii="Times New Roman" w:eastAsia="Times New Roman" w:hAnsi="Times New Roman" w:cs="Times New Roman"/>
                <w:color w:val="000000"/>
              </w:rPr>
            </w:pPr>
          </w:p>
        </w:tc>
      </w:tr>
      <w:tr w:rsidR="00992507" w:rsidRPr="00C752F0" w:rsidTr="00992507">
        <w:trPr>
          <w:trHeight w:val="302"/>
        </w:trPr>
        <w:tc>
          <w:tcPr>
            <w:tcW w:w="2431" w:type="dxa"/>
            <w:tcBorders>
              <w:top w:val="single" w:sz="4" w:space="0" w:color="auto"/>
              <w:left w:val="single" w:sz="4" w:space="0" w:color="auto"/>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INVESTIMET KAPITALE</w:t>
            </w:r>
          </w:p>
        </w:tc>
        <w:tc>
          <w:tcPr>
            <w:tcW w:w="1845" w:type="dxa"/>
            <w:tcBorders>
              <w:top w:val="single" w:sz="4" w:space="0" w:color="auto"/>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1845" w:type="dxa"/>
            <w:tcBorders>
              <w:top w:val="single" w:sz="4" w:space="0" w:color="auto"/>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single" w:sz="8" w:space="0" w:color="auto"/>
              <w:left w:val="single" w:sz="8" w:space="0" w:color="auto"/>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COUNCIL OF EUROPE (93)</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43.65 </w:t>
            </w:r>
          </w:p>
        </w:tc>
        <w:tc>
          <w:tcPr>
            <w:tcW w:w="184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   </w:t>
            </w:r>
          </w:p>
        </w:tc>
        <w:tc>
          <w:tcPr>
            <w:tcW w:w="2265" w:type="dxa"/>
            <w:tcBorders>
              <w:top w:val="single" w:sz="8" w:space="0" w:color="auto"/>
              <w:left w:val="nil"/>
              <w:bottom w:val="single" w:sz="8" w:space="0" w:color="auto"/>
              <w:right w:val="single" w:sz="4" w:space="0" w:color="auto"/>
            </w:tcBorders>
            <w:shd w:val="clear" w:color="auto" w:fill="DEEAF6" w:themeFill="accent1" w:themeFillTint="33"/>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(43.65)</w:t>
            </w:r>
          </w:p>
        </w:tc>
        <w:tc>
          <w:tcPr>
            <w:tcW w:w="1701" w:type="dxa"/>
            <w:tcBorders>
              <w:top w:val="nil"/>
              <w:left w:val="nil"/>
              <w:bottom w:val="nil"/>
              <w:right w:val="nil"/>
            </w:tcBorders>
            <w:shd w:val="clear" w:color="auto" w:fill="DEEAF6" w:themeFill="accent1" w:themeFillTint="33"/>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0</w:t>
            </w: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p>
        </w:tc>
      </w:tr>
      <w:tr w:rsidR="00992507" w:rsidRPr="00C752F0" w:rsidTr="00992507">
        <w:trPr>
          <w:trHeight w:val="302"/>
        </w:trPr>
        <w:tc>
          <w:tcPr>
            <w:tcW w:w="2431" w:type="dxa"/>
            <w:tcBorders>
              <w:top w:val="nil"/>
              <w:left w:val="single" w:sz="4" w:space="0" w:color="auto"/>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lastRenderedPageBreak/>
              <w:t>MALLRA DHE SHERBIME</w:t>
            </w:r>
          </w:p>
        </w:tc>
        <w:tc>
          <w:tcPr>
            <w:tcW w:w="1845" w:type="dxa"/>
            <w:tcBorders>
              <w:top w:val="single" w:sz="4" w:space="0" w:color="auto"/>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43.65 </w:t>
            </w:r>
          </w:p>
        </w:tc>
        <w:tc>
          <w:tcPr>
            <w:tcW w:w="1845" w:type="dxa"/>
            <w:tcBorders>
              <w:top w:val="single" w:sz="4" w:space="0" w:color="auto"/>
              <w:left w:val="nil"/>
              <w:bottom w:val="nil"/>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   </w:t>
            </w:r>
          </w:p>
        </w:tc>
        <w:tc>
          <w:tcPr>
            <w:tcW w:w="2265" w:type="dxa"/>
            <w:tcBorders>
              <w:top w:val="nil"/>
              <w:left w:val="nil"/>
              <w:bottom w:val="single" w:sz="4" w:space="0" w:color="auto"/>
              <w:right w:val="single" w:sz="4" w:space="0" w:color="auto"/>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(43.65)</w:t>
            </w:r>
          </w:p>
        </w:tc>
        <w:tc>
          <w:tcPr>
            <w:tcW w:w="170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color w:val="000000"/>
              </w:rPr>
            </w:pP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rPr>
                <w:rFonts w:ascii="Times New Roman" w:eastAsia="Times New Roman" w:hAnsi="Times New Roman" w:cs="Times New Roman"/>
                <w:sz w:val="20"/>
                <w:szCs w:val="20"/>
              </w:rPr>
            </w:pPr>
          </w:p>
        </w:tc>
      </w:tr>
      <w:tr w:rsidR="00992507" w:rsidRPr="00C752F0" w:rsidTr="00992507">
        <w:trPr>
          <w:trHeight w:val="302"/>
        </w:trPr>
        <w:tc>
          <w:tcPr>
            <w:tcW w:w="2431"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TOTALI :GRANTI + THV+DONACIONET</w:t>
            </w:r>
          </w:p>
        </w:tc>
        <w:tc>
          <w:tcPr>
            <w:tcW w:w="1845" w:type="dxa"/>
            <w:tcBorders>
              <w:top w:val="single" w:sz="8" w:space="0" w:color="auto"/>
              <w:left w:val="nil"/>
              <w:bottom w:val="single" w:sz="8" w:space="0" w:color="auto"/>
              <w:right w:val="single" w:sz="4" w:space="0" w:color="auto"/>
            </w:tcBorders>
            <w:shd w:val="clear" w:color="auto" w:fill="BDD6EE" w:themeFill="accent1" w:themeFillTint="66"/>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15,083,944.91 </w:t>
            </w:r>
          </w:p>
        </w:tc>
        <w:tc>
          <w:tcPr>
            <w:tcW w:w="1845" w:type="dxa"/>
            <w:tcBorders>
              <w:top w:val="single" w:sz="8" w:space="0" w:color="auto"/>
              <w:left w:val="nil"/>
              <w:bottom w:val="single" w:sz="8" w:space="0" w:color="auto"/>
              <w:right w:val="single" w:sz="4" w:space="0" w:color="auto"/>
            </w:tcBorders>
            <w:shd w:val="clear" w:color="auto" w:fill="BDD6EE" w:themeFill="accent1" w:themeFillTint="66"/>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15,018,096.59 </w:t>
            </w:r>
          </w:p>
        </w:tc>
        <w:tc>
          <w:tcPr>
            <w:tcW w:w="2265" w:type="dxa"/>
            <w:tcBorders>
              <w:top w:val="single" w:sz="8" w:space="0" w:color="auto"/>
              <w:left w:val="nil"/>
              <w:bottom w:val="single" w:sz="8" w:space="0" w:color="auto"/>
              <w:right w:val="single" w:sz="4" w:space="0" w:color="auto"/>
            </w:tcBorders>
            <w:shd w:val="clear" w:color="auto" w:fill="BDD6EE" w:themeFill="accent1" w:themeFillTint="66"/>
            <w:noWrap/>
            <w:vAlign w:val="bottom"/>
            <w:hideMark/>
          </w:tcPr>
          <w:p w:rsidR="00992507" w:rsidRPr="00C752F0" w:rsidRDefault="00992507" w:rsidP="0099250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 xml:space="preserve">              (65,848.32)</w:t>
            </w:r>
          </w:p>
        </w:tc>
        <w:tc>
          <w:tcPr>
            <w:tcW w:w="1701" w:type="dxa"/>
            <w:tcBorders>
              <w:top w:val="nil"/>
              <w:left w:val="nil"/>
              <w:bottom w:val="nil"/>
              <w:right w:val="nil"/>
            </w:tcBorders>
            <w:shd w:val="clear" w:color="auto" w:fill="BDD6EE" w:themeFill="accent1" w:themeFillTint="66"/>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99.56%</w:t>
            </w:r>
          </w:p>
        </w:tc>
        <w:tc>
          <w:tcPr>
            <w:tcW w:w="271" w:type="dxa"/>
            <w:tcBorders>
              <w:top w:val="nil"/>
              <w:left w:val="nil"/>
              <w:bottom w:val="nil"/>
              <w:right w:val="nil"/>
            </w:tcBorders>
            <w:shd w:val="clear" w:color="auto" w:fill="auto"/>
            <w:noWrap/>
            <w:vAlign w:val="bottom"/>
            <w:hideMark/>
          </w:tcPr>
          <w:p w:rsidR="00992507" w:rsidRPr="00C752F0" w:rsidRDefault="00992507" w:rsidP="00992507">
            <w:pPr>
              <w:spacing w:after="0" w:line="240" w:lineRule="auto"/>
              <w:jc w:val="right"/>
              <w:rPr>
                <w:rFonts w:ascii="Times New Roman" w:eastAsia="Times New Roman" w:hAnsi="Times New Roman" w:cs="Times New Roman"/>
                <w:color w:val="000000"/>
              </w:rPr>
            </w:pPr>
          </w:p>
        </w:tc>
      </w:tr>
    </w:tbl>
    <w:p w:rsidR="000E1060" w:rsidRPr="00C752F0" w:rsidRDefault="000E1060" w:rsidP="00866499">
      <w:pPr>
        <w:spacing w:line="360" w:lineRule="auto"/>
        <w:rPr>
          <w:rFonts w:ascii="Times New Roman" w:hAnsi="Times New Roman" w:cs="Times New Roman"/>
        </w:rPr>
      </w:pPr>
    </w:p>
    <w:p w:rsidR="00C345E3" w:rsidRPr="00120F2B" w:rsidRDefault="00E269EE" w:rsidP="00120F2B">
      <w:pPr>
        <w:pStyle w:val="Heading4"/>
        <w:rPr>
          <w:b/>
          <w:color w:val="auto"/>
        </w:rPr>
      </w:pPr>
      <w:r w:rsidRPr="00120F2B">
        <w:rPr>
          <w:b/>
          <w:color w:val="auto"/>
        </w:rPr>
        <w:t>Tabela 3. Raporti i Shpenzimeve për periudhën janar–dhjetor 2025 sipas Kategorive Ekonomike</w:t>
      </w:r>
    </w:p>
    <w:tbl>
      <w:tblPr>
        <w:tblStyle w:val="TableGrid"/>
        <w:tblW w:w="0" w:type="auto"/>
        <w:tblLook w:val="04A0" w:firstRow="1" w:lastRow="0" w:firstColumn="1" w:lastColumn="0" w:noHBand="0" w:noVBand="1"/>
      </w:tblPr>
      <w:tblGrid>
        <w:gridCol w:w="6295"/>
        <w:gridCol w:w="3685"/>
      </w:tblGrid>
      <w:tr w:rsidR="00C345E3" w:rsidRPr="00C752F0" w:rsidTr="00C345E3">
        <w:tc>
          <w:tcPr>
            <w:tcW w:w="6295" w:type="dxa"/>
            <w:shd w:val="clear" w:color="auto" w:fill="D5DCE4" w:themeFill="text2" w:themeFillTint="33"/>
            <w:vAlign w:val="center"/>
          </w:tcPr>
          <w:p w:rsidR="00C345E3" w:rsidRPr="00C752F0" w:rsidRDefault="00C345E3" w:rsidP="00C345E3">
            <w:pPr>
              <w:jc w:val="center"/>
              <w:rPr>
                <w:rFonts w:ascii="Times New Roman" w:eastAsia="Times New Roman" w:hAnsi="Times New Roman" w:cs="Times New Roman"/>
                <w:b/>
                <w:bCs/>
                <w:color w:val="000000"/>
              </w:rPr>
            </w:pPr>
          </w:p>
          <w:p w:rsidR="00C345E3" w:rsidRPr="00C752F0" w:rsidRDefault="00C345E3" w:rsidP="00C345E3">
            <w:pPr>
              <w:jc w:val="cente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Përshkrim</w:t>
            </w:r>
          </w:p>
        </w:tc>
        <w:tc>
          <w:tcPr>
            <w:tcW w:w="3685" w:type="dxa"/>
            <w:shd w:val="clear" w:color="auto" w:fill="D5DCE4" w:themeFill="text2" w:themeFillTint="33"/>
            <w:vAlign w:val="center"/>
          </w:tcPr>
          <w:p w:rsidR="00C345E3" w:rsidRPr="00C752F0" w:rsidRDefault="00C345E3" w:rsidP="00C345E3">
            <w:pPr>
              <w:jc w:val="center"/>
              <w:rPr>
                <w:rFonts w:ascii="Times New Roman" w:eastAsia="Times New Roman" w:hAnsi="Times New Roman" w:cs="Times New Roman"/>
                <w:b/>
                <w:bCs/>
                <w:color w:val="000000"/>
              </w:rPr>
            </w:pPr>
          </w:p>
          <w:p w:rsidR="00C345E3" w:rsidRPr="00C752F0" w:rsidRDefault="00C345E3" w:rsidP="00C345E3">
            <w:pPr>
              <w:jc w:val="cente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Shuma</w:t>
            </w:r>
          </w:p>
        </w:tc>
      </w:tr>
      <w:tr w:rsidR="00C345E3" w:rsidRPr="00C752F0" w:rsidTr="00C345E3">
        <w:tc>
          <w:tcPr>
            <w:tcW w:w="6295" w:type="dxa"/>
            <w:vAlign w:val="center"/>
          </w:tcPr>
          <w:p w:rsidR="00C345E3" w:rsidRPr="00C752F0" w:rsidRDefault="00C345E3" w:rsidP="00C345E3">
            <w:pP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Valutë:                                                                                           EURO</w:t>
            </w:r>
          </w:p>
        </w:tc>
        <w:tc>
          <w:tcPr>
            <w:tcW w:w="3685" w:type="dxa"/>
            <w:vAlign w:val="center"/>
          </w:tcPr>
          <w:p w:rsidR="00C345E3" w:rsidRPr="00C752F0" w:rsidRDefault="00C345E3" w:rsidP="00C345E3">
            <w:pPr>
              <w:rPr>
                <w:rFonts w:ascii="Times New Roman" w:eastAsia="Times New Roman" w:hAnsi="Times New Roman" w:cs="Times New Roman"/>
                <w:color w:val="000000"/>
              </w:rPr>
            </w:pPr>
            <w:r w:rsidRPr="00C752F0">
              <w:rPr>
                <w:rFonts w:ascii="Times New Roman" w:eastAsia="Times New Roman" w:hAnsi="Times New Roman" w:cs="Times New Roman"/>
                <w:color w:val="000000"/>
              </w:rPr>
              <w:t> </w:t>
            </w:r>
          </w:p>
        </w:tc>
      </w:tr>
      <w:tr w:rsidR="00C345E3" w:rsidRPr="00C752F0" w:rsidTr="00C345E3">
        <w:tc>
          <w:tcPr>
            <w:tcW w:w="6295" w:type="dxa"/>
            <w:shd w:val="clear" w:color="auto" w:fill="FBE4D5" w:themeFill="accent2" w:themeFillTint="33"/>
            <w:vAlign w:val="center"/>
          </w:tcPr>
          <w:p w:rsidR="00C345E3" w:rsidRPr="00C752F0" w:rsidRDefault="00C345E3" w:rsidP="00C345E3">
            <w:pPr>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631  -  GP+THV+THV nga viti i kaluar</w:t>
            </w:r>
          </w:p>
        </w:tc>
        <w:tc>
          <w:tcPr>
            <w:tcW w:w="3685" w:type="dxa"/>
            <w:shd w:val="clear" w:color="auto" w:fill="FBE4D5" w:themeFill="accent2" w:themeFillTint="33"/>
            <w:vAlign w:val="center"/>
          </w:tcPr>
          <w:p w:rsidR="00C345E3" w:rsidRPr="00C752F0" w:rsidRDefault="00C345E3" w:rsidP="00C345E3">
            <w:pPr>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15,018,096.59</w:t>
            </w:r>
          </w:p>
        </w:tc>
      </w:tr>
      <w:tr w:rsidR="00C345E3" w:rsidRPr="00C752F0" w:rsidTr="00C345E3">
        <w:tc>
          <w:tcPr>
            <w:tcW w:w="6295" w:type="dxa"/>
            <w:vAlign w:val="center"/>
          </w:tcPr>
          <w:p w:rsidR="00C345E3" w:rsidRPr="00C752F0" w:rsidRDefault="00C345E3" w:rsidP="00C345E3">
            <w:pPr>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11  -  PAGA DHE SHTESA</w:t>
            </w:r>
          </w:p>
        </w:tc>
        <w:tc>
          <w:tcPr>
            <w:tcW w:w="3685" w:type="dxa"/>
            <w:vAlign w:val="center"/>
          </w:tcPr>
          <w:p w:rsidR="00C345E3" w:rsidRPr="00C752F0" w:rsidRDefault="00C345E3" w:rsidP="00C345E3">
            <w:pPr>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7,950,905.32</w:t>
            </w:r>
          </w:p>
        </w:tc>
      </w:tr>
      <w:tr w:rsidR="00C345E3" w:rsidRPr="00C752F0" w:rsidTr="00C345E3">
        <w:tc>
          <w:tcPr>
            <w:tcW w:w="6295" w:type="dxa"/>
            <w:vAlign w:val="center"/>
          </w:tcPr>
          <w:p w:rsidR="00C345E3" w:rsidRPr="00C752F0" w:rsidRDefault="00C345E3" w:rsidP="00C345E3">
            <w:pPr>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13  -  MALLRA DHE SHËRBIME</w:t>
            </w:r>
          </w:p>
        </w:tc>
        <w:tc>
          <w:tcPr>
            <w:tcW w:w="3685" w:type="dxa"/>
            <w:vAlign w:val="center"/>
          </w:tcPr>
          <w:p w:rsidR="00C345E3" w:rsidRPr="00C752F0" w:rsidRDefault="00C345E3" w:rsidP="00C345E3">
            <w:pPr>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2,826,795.61</w:t>
            </w:r>
          </w:p>
        </w:tc>
      </w:tr>
      <w:tr w:rsidR="00C345E3" w:rsidRPr="00C752F0" w:rsidTr="00C345E3">
        <w:tc>
          <w:tcPr>
            <w:tcW w:w="6295" w:type="dxa"/>
            <w:vAlign w:val="center"/>
          </w:tcPr>
          <w:p w:rsidR="00C345E3" w:rsidRPr="00C752F0" w:rsidRDefault="00C345E3" w:rsidP="00C345E3">
            <w:pPr>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14  -  SHPENZIME KOMUNALE</w:t>
            </w:r>
          </w:p>
        </w:tc>
        <w:tc>
          <w:tcPr>
            <w:tcW w:w="3685" w:type="dxa"/>
            <w:vAlign w:val="center"/>
          </w:tcPr>
          <w:p w:rsidR="00C345E3" w:rsidRPr="00C752F0" w:rsidRDefault="00C345E3" w:rsidP="00C345E3">
            <w:pPr>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249,909.57</w:t>
            </w:r>
          </w:p>
        </w:tc>
      </w:tr>
      <w:tr w:rsidR="00C345E3" w:rsidRPr="00C752F0" w:rsidTr="00C345E3">
        <w:tc>
          <w:tcPr>
            <w:tcW w:w="6295" w:type="dxa"/>
            <w:vAlign w:val="center"/>
          </w:tcPr>
          <w:p w:rsidR="00C345E3" w:rsidRPr="00C752F0" w:rsidRDefault="00C345E3" w:rsidP="00C345E3">
            <w:pPr>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20  -  SUBVENCIONE DHE TRANSFERE</w:t>
            </w:r>
          </w:p>
        </w:tc>
        <w:tc>
          <w:tcPr>
            <w:tcW w:w="3685" w:type="dxa"/>
            <w:vAlign w:val="center"/>
          </w:tcPr>
          <w:p w:rsidR="00C345E3" w:rsidRPr="00C752F0" w:rsidRDefault="00C345E3" w:rsidP="00C345E3">
            <w:pPr>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379,524.01</w:t>
            </w:r>
          </w:p>
        </w:tc>
      </w:tr>
      <w:tr w:rsidR="00C345E3" w:rsidRPr="00C752F0" w:rsidTr="00C345E3">
        <w:tc>
          <w:tcPr>
            <w:tcW w:w="6295" w:type="dxa"/>
            <w:vAlign w:val="center"/>
          </w:tcPr>
          <w:p w:rsidR="00C345E3" w:rsidRPr="00C752F0" w:rsidRDefault="00C345E3" w:rsidP="00C345E3">
            <w:pPr>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30  -  PASURITË JOFINANCIARE</w:t>
            </w:r>
          </w:p>
        </w:tc>
        <w:tc>
          <w:tcPr>
            <w:tcW w:w="3685" w:type="dxa"/>
            <w:vAlign w:val="center"/>
          </w:tcPr>
          <w:p w:rsidR="00C345E3" w:rsidRPr="00C752F0" w:rsidRDefault="00C345E3" w:rsidP="00C345E3">
            <w:pPr>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6,310,874.96</w:t>
            </w:r>
          </w:p>
        </w:tc>
      </w:tr>
      <w:tr w:rsidR="00C345E3" w:rsidRPr="00C752F0" w:rsidTr="00C345E3">
        <w:tc>
          <w:tcPr>
            <w:tcW w:w="6295" w:type="dxa"/>
            <w:shd w:val="clear" w:color="auto" w:fill="D5DCE4" w:themeFill="text2" w:themeFillTint="33"/>
            <w:vAlign w:val="center"/>
          </w:tcPr>
          <w:p w:rsidR="00C345E3" w:rsidRPr="00C752F0" w:rsidRDefault="00C345E3" w:rsidP="00C345E3">
            <w:pP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Bilanci i përgjithshëm</w:t>
            </w:r>
          </w:p>
        </w:tc>
        <w:tc>
          <w:tcPr>
            <w:tcW w:w="3685" w:type="dxa"/>
            <w:shd w:val="clear" w:color="auto" w:fill="D5DCE4" w:themeFill="text2" w:themeFillTint="33"/>
            <w:vAlign w:val="center"/>
          </w:tcPr>
          <w:p w:rsidR="00C345E3" w:rsidRPr="00C752F0" w:rsidRDefault="00C345E3" w:rsidP="00C345E3">
            <w:pPr>
              <w:jc w:val="right"/>
              <w:rPr>
                <w:rFonts w:ascii="Times New Roman" w:eastAsia="Times New Roman" w:hAnsi="Times New Roman" w:cs="Times New Roman"/>
                <w:b/>
                <w:bCs/>
                <w:color w:val="000000"/>
              </w:rPr>
            </w:pPr>
          </w:p>
          <w:p w:rsidR="00C345E3" w:rsidRPr="00C752F0" w:rsidRDefault="00C345E3" w:rsidP="00C345E3">
            <w:pPr>
              <w:jc w:val="right"/>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15,018,096.59</w:t>
            </w:r>
          </w:p>
        </w:tc>
      </w:tr>
    </w:tbl>
    <w:p w:rsidR="007A4D0A" w:rsidRPr="00C752F0" w:rsidRDefault="007A4D0A" w:rsidP="00866499">
      <w:pPr>
        <w:spacing w:line="360" w:lineRule="auto"/>
        <w:rPr>
          <w:rFonts w:ascii="Times New Roman" w:hAnsi="Times New Roman" w:cs="Times New Roman"/>
        </w:rPr>
      </w:pPr>
    </w:p>
    <w:p w:rsidR="00C345E3" w:rsidRPr="00120F2B" w:rsidRDefault="00E269EE" w:rsidP="00120F2B">
      <w:pPr>
        <w:pStyle w:val="Heading5"/>
        <w:rPr>
          <w:b/>
          <w:i/>
          <w:color w:val="auto"/>
        </w:rPr>
      </w:pPr>
      <w:r w:rsidRPr="00120F2B">
        <w:rPr>
          <w:b/>
          <w:i/>
          <w:color w:val="auto"/>
        </w:rPr>
        <w:t>Tabela 3.1. Raporti i Shpenzimeve për periudhën janar–dhjetor 2025 sipas Fondit Burimor dhe Kategorive Ekonomike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809"/>
      </w:tblGrid>
      <w:tr w:rsidR="00C345E3" w:rsidRPr="00C752F0" w:rsidTr="00C345E3">
        <w:trPr>
          <w:trHeight w:val="297"/>
        </w:trPr>
        <w:tc>
          <w:tcPr>
            <w:tcW w:w="6199" w:type="dxa"/>
            <w:shd w:val="clear" w:color="000000" w:fill="D6DCE4"/>
            <w:vAlign w:val="center"/>
            <w:hideMark/>
          </w:tcPr>
          <w:p w:rsidR="00C345E3" w:rsidRPr="00C752F0" w:rsidRDefault="00C345E3" w:rsidP="00AE5C27">
            <w:pPr>
              <w:spacing w:after="0" w:line="240" w:lineRule="auto"/>
              <w:jc w:val="cente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Përshkrim</w:t>
            </w:r>
          </w:p>
        </w:tc>
        <w:tc>
          <w:tcPr>
            <w:tcW w:w="3809" w:type="dxa"/>
            <w:shd w:val="clear" w:color="000000" w:fill="D6DCE4"/>
            <w:vAlign w:val="center"/>
            <w:hideMark/>
          </w:tcPr>
          <w:p w:rsidR="00C345E3" w:rsidRPr="00C752F0" w:rsidRDefault="00C345E3" w:rsidP="00AE5C27">
            <w:pPr>
              <w:spacing w:after="0" w:line="240" w:lineRule="auto"/>
              <w:jc w:val="center"/>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Shuma</w:t>
            </w:r>
          </w:p>
        </w:tc>
      </w:tr>
      <w:tr w:rsidR="00C345E3" w:rsidRPr="00C752F0" w:rsidTr="00C345E3">
        <w:trPr>
          <w:trHeight w:val="280"/>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Valutë                                                                                 Euro</w:t>
            </w:r>
          </w:p>
        </w:tc>
        <w:tc>
          <w:tcPr>
            <w:tcW w:w="380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w:t>
            </w:r>
          </w:p>
        </w:tc>
      </w:tr>
      <w:tr w:rsidR="00C345E3" w:rsidRPr="00C752F0" w:rsidTr="00C345E3">
        <w:trPr>
          <w:trHeight w:val="297"/>
        </w:trPr>
        <w:tc>
          <w:tcPr>
            <w:tcW w:w="6199" w:type="dxa"/>
            <w:shd w:val="clear" w:color="000000" w:fill="FCE4D6"/>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10  -  GRANTI I PERGJITHSHEM</w:t>
            </w:r>
          </w:p>
        </w:tc>
        <w:tc>
          <w:tcPr>
            <w:tcW w:w="3809" w:type="dxa"/>
            <w:shd w:val="clear" w:color="000000" w:fill="FFF2CC"/>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13,808,008.25</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11  -  PAGA DHE SHTESA</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7,950,905.32</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13  -  MALLRA DHE SHËRBIME</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2,375,954.58</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14  -  SHPENZIME KOMUNALE</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249,996.69</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20  -  SUBVENCIONE DHE TRANSFERE</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289,708.79</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30  -  PASURITË JOFINANCIARE</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2,941,442.87</w:t>
            </w:r>
          </w:p>
        </w:tc>
      </w:tr>
      <w:tr w:rsidR="00C345E3" w:rsidRPr="00C752F0" w:rsidTr="00C345E3">
        <w:trPr>
          <w:trHeight w:val="297"/>
        </w:trPr>
        <w:tc>
          <w:tcPr>
            <w:tcW w:w="6199" w:type="dxa"/>
            <w:shd w:val="clear" w:color="000000" w:fill="FCE4D6"/>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21  -  TË HYRAT VETANAKE</w:t>
            </w:r>
          </w:p>
        </w:tc>
        <w:tc>
          <w:tcPr>
            <w:tcW w:w="3809" w:type="dxa"/>
            <w:shd w:val="clear" w:color="000000" w:fill="FFF2CC"/>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889,768.31</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13  -  MALLRA DHE SHËRBIME</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260,521.00</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20  -  SUBVENCIONE DHE TRANSFERE</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59,815.22</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30  -  PASURITË JOFINANCIARE</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569,432.09</w:t>
            </w:r>
          </w:p>
        </w:tc>
      </w:tr>
      <w:tr w:rsidR="00C345E3" w:rsidRPr="00C752F0" w:rsidTr="00C345E3">
        <w:trPr>
          <w:trHeight w:val="297"/>
        </w:trPr>
        <w:tc>
          <w:tcPr>
            <w:tcW w:w="6199" w:type="dxa"/>
            <w:shd w:val="clear" w:color="000000" w:fill="FCE4D6"/>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22  -  TË HYRAT VETANAKE NGA VITI I KALUAR</w:t>
            </w:r>
          </w:p>
        </w:tc>
        <w:tc>
          <w:tcPr>
            <w:tcW w:w="3809" w:type="dxa"/>
            <w:shd w:val="clear" w:color="000000" w:fill="FFF2CC"/>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320,320.03</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13  -  MALLRA DHE SHËRBIME</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190,320.03</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20  -  SUBVENCIONE DHE TRANSFERE</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30,000.00</w:t>
            </w:r>
          </w:p>
        </w:tc>
      </w:tr>
      <w:tr w:rsidR="00C345E3" w:rsidRPr="00C752F0" w:rsidTr="00C345E3">
        <w:trPr>
          <w:trHeight w:val="297"/>
        </w:trPr>
        <w:tc>
          <w:tcPr>
            <w:tcW w:w="6199" w:type="dxa"/>
            <w:shd w:val="clear" w:color="000000" w:fill="FFFFFF"/>
            <w:vAlign w:val="center"/>
            <w:hideMark/>
          </w:tcPr>
          <w:p w:rsidR="00C345E3" w:rsidRPr="00C752F0" w:rsidRDefault="00C345E3" w:rsidP="00AE5C27">
            <w:pPr>
              <w:spacing w:after="0" w:line="240" w:lineRule="auto"/>
              <w:rPr>
                <w:rFonts w:ascii="Times New Roman" w:eastAsia="Times New Roman" w:hAnsi="Times New Roman" w:cs="Times New Roman"/>
                <w:color w:val="000000"/>
              </w:rPr>
            </w:pPr>
            <w:r w:rsidRPr="00C752F0">
              <w:rPr>
                <w:rFonts w:ascii="Times New Roman" w:eastAsia="Times New Roman" w:hAnsi="Times New Roman" w:cs="Times New Roman"/>
                <w:color w:val="000000"/>
              </w:rPr>
              <w:t xml:space="preserve">        30  -  PASURITË JOFINANCIARE</w:t>
            </w:r>
          </w:p>
        </w:tc>
        <w:tc>
          <w:tcPr>
            <w:tcW w:w="3809" w:type="dxa"/>
            <w:shd w:val="clear" w:color="000000" w:fill="FFFFFF"/>
            <w:vAlign w:val="center"/>
            <w:hideMark/>
          </w:tcPr>
          <w:p w:rsidR="00C345E3" w:rsidRPr="00C752F0" w:rsidRDefault="00C345E3" w:rsidP="00AE5C27">
            <w:pPr>
              <w:spacing w:after="0" w:line="240" w:lineRule="auto"/>
              <w:jc w:val="right"/>
              <w:rPr>
                <w:rFonts w:ascii="Times New Roman" w:eastAsia="Times New Roman" w:hAnsi="Times New Roman" w:cs="Times New Roman"/>
                <w:color w:val="000000"/>
              </w:rPr>
            </w:pPr>
            <w:r w:rsidRPr="00C752F0">
              <w:rPr>
                <w:rFonts w:ascii="Times New Roman" w:eastAsia="Times New Roman" w:hAnsi="Times New Roman" w:cs="Times New Roman"/>
                <w:color w:val="000000"/>
              </w:rPr>
              <w:t>100,000.00</w:t>
            </w:r>
          </w:p>
        </w:tc>
      </w:tr>
      <w:tr w:rsidR="00C345E3" w:rsidRPr="00C752F0" w:rsidTr="00C345E3">
        <w:trPr>
          <w:trHeight w:val="410"/>
        </w:trPr>
        <w:tc>
          <w:tcPr>
            <w:tcW w:w="6199" w:type="dxa"/>
            <w:shd w:val="clear" w:color="000000" w:fill="D6DCE4"/>
            <w:vAlign w:val="center"/>
            <w:hideMark/>
          </w:tcPr>
          <w:p w:rsidR="00C345E3" w:rsidRPr="00C752F0" w:rsidRDefault="00C345E3" w:rsidP="00AE5C27">
            <w:pPr>
              <w:spacing w:after="0" w:line="240" w:lineRule="auto"/>
              <w:rPr>
                <w:rFonts w:ascii="Times New Roman" w:eastAsia="Times New Roman" w:hAnsi="Times New Roman" w:cs="Times New Roman"/>
                <w:b/>
                <w:bCs/>
                <w:color w:val="000000"/>
              </w:rPr>
            </w:pPr>
            <w:r w:rsidRPr="00C752F0">
              <w:rPr>
                <w:rFonts w:ascii="Times New Roman" w:eastAsia="Times New Roman" w:hAnsi="Times New Roman" w:cs="Times New Roman"/>
                <w:b/>
                <w:bCs/>
                <w:color w:val="000000"/>
              </w:rPr>
              <w:t>Bilanci i përgjithshëm</w:t>
            </w:r>
          </w:p>
        </w:tc>
        <w:tc>
          <w:tcPr>
            <w:tcW w:w="3809" w:type="dxa"/>
            <w:shd w:val="clear" w:color="000000" w:fill="D6DCE4"/>
            <w:vAlign w:val="center"/>
            <w:hideMark/>
          </w:tcPr>
          <w:p w:rsidR="00C345E3" w:rsidRPr="00C752F0" w:rsidRDefault="00C345E3" w:rsidP="00AE5C27">
            <w:pPr>
              <w:spacing w:after="0" w:line="240" w:lineRule="auto"/>
              <w:jc w:val="right"/>
              <w:rPr>
                <w:rFonts w:ascii="Times New Roman" w:eastAsia="Times New Roman" w:hAnsi="Times New Roman" w:cs="Times New Roman"/>
                <w:b/>
                <w:color w:val="000000"/>
              </w:rPr>
            </w:pPr>
            <w:r w:rsidRPr="00C752F0">
              <w:rPr>
                <w:rFonts w:ascii="Times New Roman" w:eastAsia="Times New Roman" w:hAnsi="Times New Roman" w:cs="Times New Roman"/>
                <w:b/>
                <w:color w:val="000000"/>
              </w:rPr>
              <w:t>15,018,096.59</w:t>
            </w:r>
          </w:p>
        </w:tc>
      </w:tr>
    </w:tbl>
    <w:p w:rsidR="00992507" w:rsidRPr="00C752F0" w:rsidRDefault="00992507" w:rsidP="00866499">
      <w:pPr>
        <w:spacing w:line="360" w:lineRule="auto"/>
        <w:rPr>
          <w:rFonts w:ascii="Times New Roman" w:hAnsi="Times New Roman" w:cs="Times New Roman"/>
          <w:sz w:val="24"/>
          <w:szCs w:val="24"/>
        </w:rPr>
      </w:pPr>
    </w:p>
    <w:p w:rsidR="009E7C27" w:rsidRDefault="00875657" w:rsidP="009E7C27">
      <w:pPr>
        <w:rPr>
          <w:rFonts w:ascii="Times New Roman" w:hAnsi="Times New Roman" w:cs="Times New Roman"/>
          <w:sz w:val="24"/>
          <w:szCs w:val="24"/>
        </w:rPr>
      </w:pPr>
      <w:r w:rsidRPr="00C752F0">
        <w:rPr>
          <w:rFonts w:ascii="Times New Roman" w:hAnsi="Times New Roman" w:cs="Times New Roman"/>
          <w:sz w:val="24"/>
          <w:szCs w:val="24"/>
        </w:rPr>
        <w:t xml:space="preserve">Buxheti i Komunës për vitin 2025 është menaxhuar në mënyrë të rregullt dhe transparente, duke respektuar procedurat ligjore dhe duke siguruar realizimin e detyrimeve ndaj stafit, qytetarëve dhe </w:t>
      </w:r>
      <w:r w:rsidRPr="00C752F0">
        <w:rPr>
          <w:rFonts w:ascii="Times New Roman" w:hAnsi="Times New Roman" w:cs="Times New Roman"/>
          <w:sz w:val="24"/>
          <w:szCs w:val="24"/>
        </w:rPr>
        <w:lastRenderedPageBreak/>
        <w:t>projekteve komunale. Raporti tregon një përdorim efektiv të fondeve, me respektimin e afateve ligjore për pagesa dhe transparencë në menaxhimin e mjeteve publike.</w:t>
      </w:r>
    </w:p>
    <w:p w:rsidR="007A4D0A" w:rsidRPr="00C752F0" w:rsidRDefault="007A4D0A" w:rsidP="009E7C27">
      <w:pPr>
        <w:rPr>
          <w:rFonts w:ascii="Times New Roman" w:hAnsi="Times New Roman" w:cs="Times New Roman"/>
          <w:sz w:val="24"/>
          <w:szCs w:val="24"/>
        </w:rPr>
      </w:pPr>
    </w:p>
    <w:p w:rsidR="00E269EE" w:rsidRPr="00120F2B" w:rsidRDefault="00E269EE" w:rsidP="00E269EE">
      <w:pPr>
        <w:pStyle w:val="Heading1"/>
        <w:rPr>
          <w:rFonts w:ascii="Times New Roman" w:hAnsi="Times New Roman" w:cs="Times New Roman"/>
          <w:b/>
          <w:color w:val="auto"/>
        </w:rPr>
      </w:pPr>
      <w:bookmarkStart w:id="32" w:name="_Toc218599866"/>
      <w:r w:rsidRPr="00120F2B">
        <w:rPr>
          <w:rFonts w:ascii="Times New Roman" w:hAnsi="Times New Roman" w:cs="Times New Roman"/>
          <w:b/>
          <w:color w:val="auto"/>
        </w:rPr>
        <w:t>3. PAGESAT NË ARKË</w:t>
      </w:r>
      <w:bookmarkEnd w:id="32"/>
    </w:p>
    <w:p w:rsidR="00E269EE" w:rsidRPr="00120F2B" w:rsidRDefault="00120F2B" w:rsidP="00120F2B">
      <w:pPr>
        <w:pStyle w:val="Heading2"/>
        <w:rPr>
          <w:b/>
          <w:color w:val="auto"/>
        </w:rPr>
      </w:pPr>
      <w:bookmarkStart w:id="33" w:name="_Toc218599867"/>
      <w:r w:rsidRPr="00120F2B">
        <w:rPr>
          <w:rStyle w:val="Strong"/>
          <w:color w:val="auto"/>
        </w:rPr>
        <w:t>3</w:t>
      </w:r>
      <w:r w:rsidRPr="00120F2B">
        <w:rPr>
          <w:rStyle w:val="Heading2Char"/>
          <w:b/>
          <w:color w:val="auto"/>
        </w:rPr>
        <w:t xml:space="preserve">.1. </w:t>
      </w:r>
      <w:r w:rsidR="00E269EE" w:rsidRPr="00120F2B">
        <w:rPr>
          <w:rStyle w:val="Heading2Char"/>
          <w:b/>
          <w:color w:val="auto"/>
        </w:rPr>
        <w:t>Raport për periudhën janar – dhjetor 2025</w:t>
      </w:r>
      <w:bookmarkEnd w:id="33"/>
    </w:p>
    <w:p w:rsidR="00E269EE" w:rsidRPr="00C752F0" w:rsidRDefault="00E269EE" w:rsidP="00E269EE">
      <w:pPr>
        <w:pStyle w:val="NormalWeb"/>
        <w:rPr>
          <w:lang w:val="sq-AL"/>
        </w:rPr>
      </w:pPr>
      <w:r w:rsidRPr="00C752F0">
        <w:rPr>
          <w:lang w:val="sq-AL"/>
        </w:rPr>
        <w:t xml:space="preserve">Pagesat në arkë gjatë vitit </w:t>
      </w:r>
      <w:r w:rsidRPr="00C752F0">
        <w:rPr>
          <w:rStyle w:val="Strong"/>
          <w:lang w:val="sq-AL"/>
        </w:rPr>
        <w:t>2025</w:t>
      </w:r>
      <w:r w:rsidRPr="00C752F0">
        <w:rPr>
          <w:lang w:val="sq-AL"/>
        </w:rPr>
        <w:t xml:space="preserve"> janë realizuar për shërbime dhe taksa administrative me vlerë </w:t>
      </w:r>
      <w:r w:rsidRPr="00C752F0">
        <w:rPr>
          <w:rStyle w:val="Strong"/>
          <w:lang w:val="sq-AL"/>
        </w:rPr>
        <w:t>nën 10 euro</w:t>
      </w:r>
      <w:r w:rsidRPr="00C752F0">
        <w:rPr>
          <w:lang w:val="sq-AL"/>
        </w:rPr>
        <w:t>, në përputhje me rregulloret financiare në fuqi. Këto pagesa kanë përfshirë shërbime të ndryshme administrative, si: certifikata të lindjes dhe ekstrakte të lindjes, certifikata të vendbanimit, certifikata të vdekjes, certifikata të statusit martesor, certifikata të martesës, certifikata të bashkësisë familjare, certifikata të shtetësisë, vërtetime nga arkiva, si dhe taksa të tjera administrative.</w:t>
      </w:r>
    </w:p>
    <w:p w:rsidR="009F5A00" w:rsidRPr="00120F2B" w:rsidRDefault="00E269EE" w:rsidP="00120F2B">
      <w:pPr>
        <w:pStyle w:val="NormalWeb"/>
        <w:rPr>
          <w:lang w:val="sq-AL"/>
        </w:rPr>
      </w:pPr>
      <w:r w:rsidRPr="00C752F0">
        <w:rPr>
          <w:lang w:val="sq-AL"/>
        </w:rPr>
        <w:t xml:space="preserve">Gjatë periudhës </w:t>
      </w:r>
      <w:r w:rsidRPr="00C752F0">
        <w:rPr>
          <w:rStyle w:val="Strong"/>
          <w:lang w:val="sq-AL"/>
        </w:rPr>
        <w:t>janar–dhjetor 2025</w:t>
      </w:r>
      <w:r w:rsidRPr="00C752F0">
        <w:rPr>
          <w:lang w:val="sq-AL"/>
        </w:rPr>
        <w:t xml:space="preserve">, sipas raporteve zyrtare të arkës, janë evidentuar të dhënat financiare si në vijim: janë lëshuar fletëpagesa në vlerë totale prej </w:t>
      </w:r>
      <w:r w:rsidRPr="00C752F0">
        <w:rPr>
          <w:rStyle w:val="Strong"/>
          <w:lang w:val="sq-AL"/>
        </w:rPr>
        <w:t>29,770 €</w:t>
      </w:r>
      <w:r w:rsidRPr="00C752F0">
        <w:rPr>
          <w:lang w:val="sq-AL"/>
        </w:rPr>
        <w:t xml:space="preserve">, ndërsa vlera e pagesave të anuluara ka qenë </w:t>
      </w:r>
      <w:r w:rsidRPr="00C752F0">
        <w:rPr>
          <w:rStyle w:val="Strong"/>
          <w:lang w:val="sq-AL"/>
        </w:rPr>
        <w:t>768 €</w:t>
      </w:r>
      <w:r w:rsidRPr="00C752F0">
        <w:rPr>
          <w:lang w:val="sq-AL"/>
        </w:rPr>
        <w:t xml:space="preserve">. Mjetet financiare të grumbulluara dhe të dorëzuara në arkën kryesore kanë arritur shumën prej </w:t>
      </w:r>
      <w:r w:rsidRPr="00C752F0">
        <w:rPr>
          <w:rStyle w:val="Strong"/>
          <w:lang w:val="sq-AL"/>
        </w:rPr>
        <w:t>35,619 €</w:t>
      </w:r>
      <w:r w:rsidRPr="00C752F0">
        <w:rPr>
          <w:lang w:val="sq-AL"/>
        </w:rPr>
        <w:t>.</w:t>
      </w:r>
    </w:p>
    <w:tbl>
      <w:tblPr>
        <w:tblStyle w:val="TableGrid"/>
        <w:tblW w:w="10174" w:type="dxa"/>
        <w:tblLook w:val="04A0" w:firstRow="1" w:lastRow="0" w:firstColumn="1" w:lastColumn="0" w:noHBand="0" w:noVBand="1"/>
      </w:tblPr>
      <w:tblGrid>
        <w:gridCol w:w="5087"/>
        <w:gridCol w:w="5087"/>
      </w:tblGrid>
      <w:tr w:rsidR="00196111" w:rsidRPr="00196111" w:rsidTr="00120F2B">
        <w:trPr>
          <w:trHeight w:val="344"/>
        </w:trPr>
        <w:tc>
          <w:tcPr>
            <w:tcW w:w="5087" w:type="dxa"/>
          </w:tcPr>
          <w:p w:rsidR="00196111" w:rsidRPr="00196111" w:rsidRDefault="00196111" w:rsidP="00196111">
            <w:pPr>
              <w:rPr>
                <w:rFonts w:ascii="Times New Roman" w:eastAsia="Calibri" w:hAnsi="Times New Roman" w:cs="Times New Roman"/>
                <w:sz w:val="24"/>
                <w:szCs w:val="24"/>
              </w:rPr>
            </w:pPr>
            <w:r w:rsidRPr="00196111">
              <w:rPr>
                <w:rFonts w:ascii="Times New Roman" w:eastAsia="Calibri" w:hAnsi="Times New Roman" w:cs="Times New Roman"/>
                <w:sz w:val="24"/>
                <w:szCs w:val="24"/>
              </w:rPr>
              <w:t xml:space="preserve">Raport i fletëpagesave të lëshuara </w:t>
            </w:r>
          </w:p>
        </w:tc>
        <w:tc>
          <w:tcPr>
            <w:tcW w:w="5087" w:type="dxa"/>
          </w:tcPr>
          <w:p w:rsidR="00196111" w:rsidRPr="00120F2B" w:rsidRDefault="00196111" w:rsidP="00196111">
            <w:pPr>
              <w:rPr>
                <w:rFonts w:ascii="Times New Roman" w:hAnsi="Times New Roman" w:cs="Times New Roman"/>
                <w:b/>
                <w:bCs/>
                <w:color w:val="000000"/>
              </w:rPr>
            </w:pPr>
            <w:r w:rsidRPr="00120F2B">
              <w:rPr>
                <w:rFonts w:ascii="Times New Roman" w:hAnsi="Times New Roman" w:cs="Times New Roman"/>
                <w:b/>
                <w:bCs/>
                <w:color w:val="000000"/>
              </w:rPr>
              <w:t>29770</w:t>
            </w:r>
            <w:r w:rsidRPr="00120F2B">
              <w:rPr>
                <w:rFonts w:ascii="Times New Roman" w:eastAsia="Calibri" w:hAnsi="Times New Roman" w:cs="Times New Roman"/>
              </w:rPr>
              <w:t>€</w:t>
            </w:r>
          </w:p>
        </w:tc>
      </w:tr>
      <w:tr w:rsidR="00196111" w:rsidRPr="00196111" w:rsidTr="00120F2B">
        <w:trPr>
          <w:trHeight w:val="344"/>
        </w:trPr>
        <w:tc>
          <w:tcPr>
            <w:tcW w:w="5087" w:type="dxa"/>
          </w:tcPr>
          <w:p w:rsidR="00196111" w:rsidRPr="00196111" w:rsidRDefault="00196111" w:rsidP="00196111">
            <w:pPr>
              <w:rPr>
                <w:rFonts w:ascii="Times New Roman" w:eastAsia="Calibri" w:hAnsi="Times New Roman" w:cs="Times New Roman"/>
                <w:sz w:val="24"/>
                <w:szCs w:val="24"/>
              </w:rPr>
            </w:pPr>
            <w:r w:rsidRPr="00196111">
              <w:rPr>
                <w:rFonts w:ascii="Times New Roman" w:eastAsia="Calibri" w:hAnsi="Times New Roman" w:cs="Times New Roman"/>
                <w:sz w:val="24"/>
                <w:szCs w:val="24"/>
              </w:rPr>
              <w:t>Raport i pagesave te anuluara</w:t>
            </w:r>
          </w:p>
        </w:tc>
        <w:tc>
          <w:tcPr>
            <w:tcW w:w="5087" w:type="dxa"/>
          </w:tcPr>
          <w:p w:rsidR="00196111" w:rsidRPr="00120F2B" w:rsidRDefault="00196111" w:rsidP="00196111">
            <w:pPr>
              <w:rPr>
                <w:rFonts w:ascii="Times New Roman" w:hAnsi="Times New Roman" w:cs="Times New Roman"/>
                <w:b/>
                <w:bCs/>
                <w:color w:val="000000"/>
              </w:rPr>
            </w:pPr>
            <w:r w:rsidRPr="00120F2B">
              <w:rPr>
                <w:rFonts w:ascii="Times New Roman" w:hAnsi="Times New Roman" w:cs="Times New Roman"/>
                <w:b/>
                <w:bCs/>
                <w:color w:val="000000"/>
              </w:rPr>
              <w:t>768</w:t>
            </w:r>
            <w:r w:rsidRPr="00120F2B">
              <w:rPr>
                <w:rFonts w:ascii="Times New Roman" w:eastAsia="Calibri" w:hAnsi="Times New Roman" w:cs="Times New Roman"/>
              </w:rPr>
              <w:t>€</w:t>
            </w:r>
          </w:p>
        </w:tc>
      </w:tr>
      <w:tr w:rsidR="00196111" w:rsidRPr="00196111" w:rsidTr="00120F2B">
        <w:trPr>
          <w:trHeight w:val="344"/>
        </w:trPr>
        <w:tc>
          <w:tcPr>
            <w:tcW w:w="5087" w:type="dxa"/>
          </w:tcPr>
          <w:p w:rsidR="00196111" w:rsidRPr="00196111" w:rsidRDefault="00196111" w:rsidP="00196111">
            <w:pPr>
              <w:rPr>
                <w:rFonts w:ascii="Times New Roman" w:eastAsia="Calibri" w:hAnsi="Times New Roman" w:cs="Times New Roman"/>
                <w:sz w:val="24"/>
                <w:szCs w:val="24"/>
              </w:rPr>
            </w:pPr>
            <w:r w:rsidRPr="00196111">
              <w:rPr>
                <w:rFonts w:ascii="Times New Roman" w:eastAsia="Calibri" w:hAnsi="Times New Roman" w:cs="Times New Roman"/>
                <w:sz w:val="24"/>
                <w:szCs w:val="24"/>
              </w:rPr>
              <w:t xml:space="preserve">Mjetet e dorëzuara ne arkën kryesore </w:t>
            </w:r>
          </w:p>
        </w:tc>
        <w:tc>
          <w:tcPr>
            <w:tcW w:w="5087" w:type="dxa"/>
          </w:tcPr>
          <w:p w:rsidR="00196111" w:rsidRPr="00120F2B" w:rsidRDefault="00196111" w:rsidP="00196111">
            <w:pPr>
              <w:rPr>
                <w:rFonts w:ascii="Times New Roman" w:hAnsi="Times New Roman" w:cs="Times New Roman"/>
                <w:b/>
                <w:bCs/>
                <w:color w:val="000000"/>
              </w:rPr>
            </w:pPr>
            <w:r w:rsidRPr="00120F2B">
              <w:rPr>
                <w:rFonts w:ascii="Times New Roman" w:hAnsi="Times New Roman" w:cs="Times New Roman"/>
                <w:b/>
                <w:bCs/>
                <w:color w:val="000000"/>
              </w:rPr>
              <w:t>35619</w:t>
            </w:r>
            <w:r w:rsidRPr="00120F2B">
              <w:rPr>
                <w:rFonts w:ascii="Times New Roman" w:eastAsia="Calibri" w:hAnsi="Times New Roman" w:cs="Times New Roman"/>
              </w:rPr>
              <w:t>€</w:t>
            </w:r>
          </w:p>
        </w:tc>
      </w:tr>
      <w:tr w:rsidR="00196111" w:rsidRPr="00196111" w:rsidTr="00120F2B">
        <w:trPr>
          <w:trHeight w:val="344"/>
        </w:trPr>
        <w:tc>
          <w:tcPr>
            <w:tcW w:w="5087" w:type="dxa"/>
          </w:tcPr>
          <w:p w:rsidR="00196111" w:rsidRPr="00196111" w:rsidRDefault="00196111" w:rsidP="00196111">
            <w:pPr>
              <w:rPr>
                <w:rFonts w:ascii="Times New Roman" w:eastAsia="Calibri" w:hAnsi="Times New Roman" w:cs="Times New Roman"/>
                <w:sz w:val="24"/>
                <w:szCs w:val="24"/>
              </w:rPr>
            </w:pPr>
            <w:r w:rsidRPr="00196111">
              <w:rPr>
                <w:rFonts w:ascii="Times New Roman" w:eastAsia="Calibri" w:hAnsi="Times New Roman" w:cs="Times New Roman"/>
                <w:sz w:val="24"/>
                <w:szCs w:val="24"/>
              </w:rPr>
              <w:t xml:space="preserve">Mjetet e </w:t>
            </w:r>
            <w:proofErr w:type="spellStart"/>
            <w:r w:rsidRPr="00196111">
              <w:rPr>
                <w:rFonts w:ascii="Times New Roman" w:eastAsia="Calibri" w:hAnsi="Times New Roman" w:cs="Times New Roman"/>
                <w:sz w:val="24"/>
                <w:szCs w:val="24"/>
              </w:rPr>
              <w:t>dorzuara</w:t>
            </w:r>
            <w:proofErr w:type="spellEnd"/>
            <w:r w:rsidRPr="00196111">
              <w:rPr>
                <w:rFonts w:ascii="Times New Roman" w:eastAsia="Calibri" w:hAnsi="Times New Roman" w:cs="Times New Roman"/>
                <w:sz w:val="24"/>
                <w:szCs w:val="24"/>
              </w:rPr>
              <w:t xml:space="preserve"> ne arkë sipas kodit Ekonomik</w:t>
            </w:r>
          </w:p>
        </w:tc>
        <w:tc>
          <w:tcPr>
            <w:tcW w:w="5087" w:type="dxa"/>
          </w:tcPr>
          <w:p w:rsidR="00196111" w:rsidRPr="00120F2B" w:rsidRDefault="00196111" w:rsidP="00196111">
            <w:pPr>
              <w:rPr>
                <w:rFonts w:ascii="Times New Roman" w:eastAsia="Calibri" w:hAnsi="Times New Roman" w:cs="Times New Roman"/>
                <w:b/>
              </w:rPr>
            </w:pPr>
            <w:r w:rsidRPr="00120F2B">
              <w:rPr>
                <w:rFonts w:ascii="Times New Roman" w:eastAsia="Calibri" w:hAnsi="Times New Roman" w:cs="Times New Roman"/>
                <w:b/>
              </w:rPr>
              <w:t>R.S.27537 - E.L.3460 € - G.K.1493-€ -S.D.1329€</w:t>
            </w:r>
          </w:p>
        </w:tc>
      </w:tr>
    </w:tbl>
    <w:p w:rsidR="00F7538E" w:rsidRPr="00C752F0" w:rsidRDefault="00F7538E" w:rsidP="009F5A00">
      <w:pPr>
        <w:spacing w:line="276" w:lineRule="auto"/>
        <w:jc w:val="both"/>
        <w:rPr>
          <w:rFonts w:ascii="Times New Roman" w:hAnsi="Times New Roman" w:cs="Times New Roman"/>
          <w:sz w:val="24"/>
          <w:szCs w:val="24"/>
        </w:rPr>
      </w:pPr>
    </w:p>
    <w:p w:rsidR="00E269EE" w:rsidRPr="00C752F0" w:rsidRDefault="00E269EE" w:rsidP="00E269EE">
      <w:pPr>
        <w:pStyle w:val="NormalWeb"/>
        <w:rPr>
          <w:lang w:val="sq-AL"/>
        </w:rPr>
      </w:pPr>
      <w:r w:rsidRPr="00C752F0">
        <w:rPr>
          <w:lang w:val="sq-AL"/>
        </w:rPr>
        <w:t>Gjatë gjithë vitit raportues, në çdo ditë pune është realizuar barazimi i arkës në orët e mëngjesit, ndërsa në orët e pasdites është bërë zbrazja e arkës dhe dorëzimi i mjeteve financiare në postë, duke respektuar plotësisht procedurat dhe standardet financiare.</w:t>
      </w:r>
    </w:p>
    <w:p w:rsidR="00E269EE" w:rsidRPr="00C752F0" w:rsidRDefault="00E269EE" w:rsidP="00E269EE">
      <w:pPr>
        <w:pStyle w:val="NormalWeb"/>
        <w:rPr>
          <w:lang w:val="sq-AL"/>
        </w:rPr>
      </w:pPr>
      <w:r w:rsidRPr="00C752F0">
        <w:rPr>
          <w:lang w:val="sq-AL"/>
        </w:rPr>
        <w:t>Në kuadër të punës së përditshme, janë pranuar pagesa për shërbime dhe taksa administrative të ndryshme, duke përfshirë pagesat për certifikata të lindjes dhe ekstrakte të lindjes, certifikata të tjera të gjendjes civile, taksa administrative, pagesa të kadastrës, aktvendime për regjistrimin e vdekjes, certifikata të martesës, taksa për verifikimin e dokumenteve, taksa rrugore, si dhe gjoba të ndryshme.</w:t>
      </w:r>
    </w:p>
    <w:p w:rsidR="00E269EE" w:rsidRPr="00C752F0" w:rsidRDefault="00E269EE" w:rsidP="00E269EE">
      <w:pPr>
        <w:pStyle w:val="NormalWeb"/>
        <w:rPr>
          <w:lang w:val="sq-AL"/>
        </w:rPr>
      </w:pPr>
      <w:r w:rsidRPr="00C752F0">
        <w:rPr>
          <w:lang w:val="sq-AL"/>
        </w:rPr>
        <w:t xml:space="preserve">Ky raport dëshmon funksionimin e rregullt të arkës, transparencën në menaxhimin e mjeteve financiare dhe zbatimin korrekt të procedurave administrative gjatë vitit </w:t>
      </w:r>
      <w:r w:rsidRPr="00C752F0">
        <w:rPr>
          <w:rStyle w:val="Strong"/>
          <w:lang w:val="sq-AL"/>
        </w:rPr>
        <w:t>2025</w:t>
      </w:r>
      <w:r w:rsidRPr="00C752F0">
        <w:rPr>
          <w:lang w:val="sq-AL"/>
        </w:rPr>
        <w:t>.</w:t>
      </w:r>
    </w:p>
    <w:p w:rsidR="005126DB" w:rsidRDefault="005126DB" w:rsidP="005126DB">
      <w:pPr>
        <w:rPr>
          <w:rFonts w:ascii="Times New Roman" w:hAnsi="Times New Roman" w:cs="Times New Roman"/>
        </w:rPr>
      </w:pPr>
    </w:p>
    <w:p w:rsidR="00120F2B" w:rsidRPr="00C752F0" w:rsidRDefault="00120F2B" w:rsidP="005126DB">
      <w:pPr>
        <w:rPr>
          <w:rFonts w:ascii="Times New Roman" w:hAnsi="Times New Roman" w:cs="Times New Roman"/>
        </w:rPr>
      </w:pPr>
    </w:p>
    <w:p w:rsidR="000E1060" w:rsidRPr="00120F2B" w:rsidRDefault="000E1060" w:rsidP="00120F2B">
      <w:pPr>
        <w:pStyle w:val="Heading1"/>
        <w:rPr>
          <w:rFonts w:eastAsia="Times New Roman"/>
          <w:b/>
          <w:color w:val="auto"/>
        </w:rPr>
      </w:pPr>
      <w:bookmarkStart w:id="34" w:name="_Toc218599868"/>
      <w:r w:rsidRPr="00120F2B">
        <w:rPr>
          <w:rFonts w:eastAsia="Times New Roman"/>
          <w:b/>
          <w:color w:val="auto"/>
        </w:rPr>
        <w:lastRenderedPageBreak/>
        <w:t>4. DEPARTAMENTI I TATIMIT NË PRONË</w:t>
      </w:r>
      <w:bookmarkEnd w:id="34"/>
    </w:p>
    <w:p w:rsidR="000E1060" w:rsidRPr="00120F2B" w:rsidRDefault="00120F2B" w:rsidP="00120F2B">
      <w:pPr>
        <w:pStyle w:val="Heading2"/>
        <w:rPr>
          <w:rFonts w:eastAsia="Times New Roman"/>
          <w:b/>
          <w:color w:val="auto"/>
        </w:rPr>
      </w:pPr>
      <w:bookmarkStart w:id="35" w:name="_Toc218599869"/>
      <w:r w:rsidRPr="00120F2B">
        <w:rPr>
          <w:rFonts w:eastAsia="Times New Roman"/>
          <w:b/>
          <w:color w:val="auto"/>
        </w:rPr>
        <w:t xml:space="preserve">4.1. </w:t>
      </w:r>
      <w:r w:rsidR="000E1060" w:rsidRPr="00120F2B">
        <w:rPr>
          <w:rFonts w:eastAsia="Times New Roman"/>
          <w:b/>
          <w:color w:val="auto"/>
        </w:rPr>
        <w:t>Raport për periudhën janar – dhjetor 2025</w:t>
      </w:r>
      <w:bookmarkEnd w:id="35"/>
    </w:p>
    <w:p w:rsidR="000E1060" w:rsidRPr="000E1060" w:rsidRDefault="000E1060" w:rsidP="00E269EE">
      <w:p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Departamenti i Tatimit në Pronë, gjatë periudhës </w:t>
      </w:r>
      <w:r w:rsidRPr="00C752F0">
        <w:rPr>
          <w:rFonts w:ascii="Times New Roman" w:eastAsia="Times New Roman" w:hAnsi="Times New Roman" w:cs="Times New Roman"/>
          <w:b/>
          <w:bCs/>
          <w:sz w:val="24"/>
          <w:szCs w:val="24"/>
        </w:rPr>
        <w:t>janar–dhjetor 2025</w:t>
      </w:r>
      <w:r w:rsidRPr="000E1060">
        <w:rPr>
          <w:rFonts w:ascii="Times New Roman" w:eastAsia="Times New Roman" w:hAnsi="Times New Roman" w:cs="Times New Roman"/>
          <w:sz w:val="24"/>
          <w:szCs w:val="24"/>
        </w:rPr>
        <w:t xml:space="preserve">, ka realizuar aktivitetet e tij në përputhje me kompetencat ligjore dhe objektivat e përcaktuara, duke arritur rezultate të konsiderueshme në </w:t>
      </w:r>
      <w:proofErr w:type="spellStart"/>
      <w:r w:rsidRPr="000E1060">
        <w:rPr>
          <w:rFonts w:ascii="Times New Roman" w:eastAsia="Times New Roman" w:hAnsi="Times New Roman" w:cs="Times New Roman"/>
          <w:sz w:val="24"/>
          <w:szCs w:val="24"/>
        </w:rPr>
        <w:t>inkasim</w:t>
      </w:r>
      <w:proofErr w:type="spellEnd"/>
      <w:r w:rsidRPr="000E1060">
        <w:rPr>
          <w:rFonts w:ascii="Times New Roman" w:eastAsia="Times New Roman" w:hAnsi="Times New Roman" w:cs="Times New Roman"/>
          <w:sz w:val="24"/>
          <w:szCs w:val="24"/>
        </w:rPr>
        <w:t xml:space="preserve">, administrim dhe përmirësim të </w:t>
      </w:r>
      <w:proofErr w:type="spellStart"/>
      <w:r w:rsidRPr="000E1060">
        <w:rPr>
          <w:rFonts w:ascii="Times New Roman" w:eastAsia="Times New Roman" w:hAnsi="Times New Roman" w:cs="Times New Roman"/>
          <w:sz w:val="24"/>
          <w:szCs w:val="24"/>
        </w:rPr>
        <w:t>të</w:t>
      </w:r>
      <w:proofErr w:type="spellEnd"/>
      <w:r w:rsidRPr="000E1060">
        <w:rPr>
          <w:rFonts w:ascii="Times New Roman" w:eastAsia="Times New Roman" w:hAnsi="Times New Roman" w:cs="Times New Roman"/>
          <w:sz w:val="24"/>
          <w:szCs w:val="24"/>
        </w:rPr>
        <w:t xml:space="preserve"> dhënave.</w:t>
      </w:r>
    </w:p>
    <w:p w:rsidR="000E1060" w:rsidRPr="000E1060" w:rsidRDefault="000E1060" w:rsidP="00E269EE">
      <w:p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Gjatë kësaj periudhe, Zyra e Tatimit në Pronë ka inkasuar nga tatimi në pronë shumën totale prej </w:t>
      </w:r>
      <w:r w:rsidRPr="00C752F0">
        <w:rPr>
          <w:rFonts w:ascii="Times New Roman" w:eastAsia="Times New Roman" w:hAnsi="Times New Roman" w:cs="Times New Roman"/>
          <w:b/>
          <w:bCs/>
          <w:sz w:val="24"/>
          <w:szCs w:val="24"/>
        </w:rPr>
        <w:t>520,053.85 €</w:t>
      </w:r>
      <w:r w:rsidRPr="000E1060">
        <w:rPr>
          <w:rFonts w:ascii="Times New Roman" w:eastAsia="Times New Roman" w:hAnsi="Times New Roman" w:cs="Times New Roman"/>
          <w:sz w:val="24"/>
          <w:szCs w:val="24"/>
        </w:rPr>
        <w:t>.</w:t>
      </w:r>
    </w:p>
    <w:p w:rsidR="005C258A" w:rsidRPr="000E1060" w:rsidRDefault="000E1060" w:rsidP="00E269EE">
      <w:p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Në kuadër të shqyrtimit të ankesave, janë trajtuar gjithsej </w:t>
      </w:r>
      <w:r w:rsidRPr="00C752F0">
        <w:rPr>
          <w:rFonts w:ascii="Times New Roman" w:eastAsia="Times New Roman" w:hAnsi="Times New Roman" w:cs="Times New Roman"/>
          <w:b/>
          <w:bCs/>
          <w:sz w:val="24"/>
          <w:szCs w:val="24"/>
        </w:rPr>
        <w:t>72 ankesa</w:t>
      </w:r>
      <w:r w:rsidRPr="000E1060">
        <w:rPr>
          <w:rFonts w:ascii="Times New Roman" w:eastAsia="Times New Roman" w:hAnsi="Times New Roman" w:cs="Times New Roman"/>
          <w:sz w:val="24"/>
          <w:szCs w:val="24"/>
        </w:rPr>
        <w:t xml:space="preserve"> për objekte dhe parcela, të cilat janë shqyrtuar nga komisioni përkatës dhe janë rregulluar në sistemin elektronik.</w:t>
      </w:r>
    </w:p>
    <w:p w:rsidR="00841C4D" w:rsidRPr="005C258A" w:rsidRDefault="00120F2B" w:rsidP="005C258A">
      <w:pPr>
        <w:pStyle w:val="Heading3"/>
        <w:rPr>
          <w:rFonts w:eastAsia="Times New Roman"/>
          <w:b/>
          <w:color w:val="auto"/>
        </w:rPr>
      </w:pPr>
      <w:bookmarkStart w:id="36" w:name="_Toc218599870"/>
      <w:r w:rsidRPr="00120F2B">
        <w:rPr>
          <w:rFonts w:eastAsia="Times New Roman"/>
          <w:b/>
          <w:color w:val="auto"/>
        </w:rPr>
        <w:t xml:space="preserve">4.1.1. </w:t>
      </w:r>
      <w:r w:rsidR="000E1060" w:rsidRPr="00120F2B">
        <w:rPr>
          <w:rFonts w:eastAsia="Times New Roman"/>
          <w:b/>
          <w:color w:val="auto"/>
        </w:rPr>
        <w:t>Aktivitetet kryesore të realizuara janë si vijon:</w:t>
      </w:r>
      <w:bookmarkEnd w:id="36"/>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Është bërë barazimi i të dhënave financiare me Zyrën e të Hyrave për periudhën </w:t>
      </w:r>
      <w:r w:rsidRPr="00C752F0">
        <w:rPr>
          <w:rFonts w:ascii="Times New Roman" w:eastAsia="Times New Roman" w:hAnsi="Times New Roman" w:cs="Times New Roman"/>
          <w:b/>
          <w:bCs/>
          <w:sz w:val="24"/>
          <w:szCs w:val="24"/>
        </w:rPr>
        <w:t>janar–dhjetor 2025</w:t>
      </w:r>
      <w:r w:rsidRPr="000E1060">
        <w:rPr>
          <w:rFonts w:ascii="Times New Roman" w:eastAsia="Times New Roman" w:hAnsi="Times New Roman" w:cs="Times New Roman"/>
          <w:sz w:val="24"/>
          <w:szCs w:val="24"/>
        </w:rPr>
        <w:t>.</w:t>
      </w:r>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Sipas raporteve të Zyrës së të Hyrave, me datë </w:t>
      </w:r>
      <w:r w:rsidRPr="00C752F0">
        <w:rPr>
          <w:rFonts w:ascii="Times New Roman" w:eastAsia="Times New Roman" w:hAnsi="Times New Roman" w:cs="Times New Roman"/>
          <w:b/>
          <w:bCs/>
          <w:sz w:val="24"/>
          <w:szCs w:val="24"/>
        </w:rPr>
        <w:t>26.12.2025</w:t>
      </w:r>
      <w:r w:rsidRPr="000E1060">
        <w:rPr>
          <w:rFonts w:ascii="Times New Roman" w:eastAsia="Times New Roman" w:hAnsi="Times New Roman" w:cs="Times New Roman"/>
          <w:sz w:val="24"/>
          <w:szCs w:val="24"/>
        </w:rPr>
        <w:t xml:space="preserve">, të shkarkuara nga sistemi </w:t>
      </w:r>
      <w:proofErr w:type="spellStart"/>
      <w:r w:rsidRPr="00C752F0">
        <w:rPr>
          <w:rFonts w:ascii="Times New Roman" w:eastAsia="Times New Roman" w:hAnsi="Times New Roman" w:cs="Times New Roman"/>
          <w:b/>
          <w:bCs/>
          <w:sz w:val="24"/>
          <w:szCs w:val="24"/>
        </w:rPr>
        <w:t>Protax</w:t>
      </w:r>
      <w:proofErr w:type="spellEnd"/>
      <w:r w:rsidRPr="000E1060">
        <w:rPr>
          <w:rFonts w:ascii="Times New Roman" w:eastAsia="Times New Roman" w:hAnsi="Times New Roman" w:cs="Times New Roman"/>
          <w:sz w:val="24"/>
          <w:szCs w:val="24"/>
        </w:rPr>
        <w:t xml:space="preserve">, </w:t>
      </w:r>
      <w:proofErr w:type="spellStart"/>
      <w:r w:rsidRPr="000E1060">
        <w:rPr>
          <w:rFonts w:ascii="Times New Roman" w:eastAsia="Times New Roman" w:hAnsi="Times New Roman" w:cs="Times New Roman"/>
          <w:sz w:val="24"/>
          <w:szCs w:val="24"/>
        </w:rPr>
        <w:t>inkasimi</w:t>
      </w:r>
      <w:proofErr w:type="spellEnd"/>
      <w:r w:rsidRPr="000E1060">
        <w:rPr>
          <w:rFonts w:ascii="Times New Roman" w:eastAsia="Times New Roman" w:hAnsi="Times New Roman" w:cs="Times New Roman"/>
          <w:sz w:val="24"/>
          <w:szCs w:val="24"/>
        </w:rPr>
        <w:t xml:space="preserve"> i të hyrave për objekte dhe parcela për periudhën </w:t>
      </w:r>
      <w:r w:rsidRPr="00C752F0">
        <w:rPr>
          <w:rFonts w:ascii="Times New Roman" w:eastAsia="Times New Roman" w:hAnsi="Times New Roman" w:cs="Times New Roman"/>
          <w:b/>
          <w:bCs/>
          <w:sz w:val="24"/>
          <w:szCs w:val="24"/>
        </w:rPr>
        <w:t>janar–dhjetor 2025</w:t>
      </w:r>
      <w:r w:rsidRPr="000E1060">
        <w:rPr>
          <w:rFonts w:ascii="Times New Roman" w:eastAsia="Times New Roman" w:hAnsi="Times New Roman" w:cs="Times New Roman"/>
          <w:sz w:val="24"/>
          <w:szCs w:val="24"/>
        </w:rPr>
        <w:t xml:space="preserve"> ka arritur shumën prej </w:t>
      </w:r>
      <w:r w:rsidRPr="00C752F0">
        <w:rPr>
          <w:rFonts w:ascii="Times New Roman" w:eastAsia="Times New Roman" w:hAnsi="Times New Roman" w:cs="Times New Roman"/>
          <w:b/>
          <w:bCs/>
          <w:sz w:val="24"/>
          <w:szCs w:val="24"/>
        </w:rPr>
        <w:t>375,923.52 €</w:t>
      </w:r>
      <w:r w:rsidRPr="000E1060">
        <w:rPr>
          <w:rFonts w:ascii="Times New Roman" w:eastAsia="Times New Roman" w:hAnsi="Times New Roman" w:cs="Times New Roman"/>
          <w:sz w:val="24"/>
          <w:szCs w:val="24"/>
        </w:rPr>
        <w:t>.</w:t>
      </w:r>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Janë realizuar gjithsej </w:t>
      </w:r>
      <w:r w:rsidRPr="00C752F0">
        <w:rPr>
          <w:rFonts w:ascii="Times New Roman" w:eastAsia="Times New Roman" w:hAnsi="Times New Roman" w:cs="Times New Roman"/>
          <w:b/>
          <w:bCs/>
          <w:sz w:val="24"/>
          <w:szCs w:val="24"/>
        </w:rPr>
        <w:t>125 regjistrime të reja</w:t>
      </w:r>
      <w:r w:rsidRPr="000E1060">
        <w:rPr>
          <w:rFonts w:ascii="Times New Roman" w:eastAsia="Times New Roman" w:hAnsi="Times New Roman" w:cs="Times New Roman"/>
          <w:sz w:val="24"/>
          <w:szCs w:val="24"/>
        </w:rPr>
        <w:t xml:space="preserve"> të pronave për vitin 2025.</w:t>
      </w:r>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Janë pranuar dhe trajtuar </w:t>
      </w:r>
      <w:r w:rsidRPr="00C752F0">
        <w:rPr>
          <w:rFonts w:ascii="Times New Roman" w:eastAsia="Times New Roman" w:hAnsi="Times New Roman" w:cs="Times New Roman"/>
          <w:b/>
          <w:bCs/>
          <w:sz w:val="24"/>
          <w:szCs w:val="24"/>
        </w:rPr>
        <w:t>118 kërkesa për korrigjim</w:t>
      </w:r>
      <w:r w:rsidRPr="000E1060">
        <w:rPr>
          <w:rFonts w:ascii="Times New Roman" w:eastAsia="Times New Roman" w:hAnsi="Times New Roman" w:cs="Times New Roman"/>
          <w:sz w:val="24"/>
          <w:szCs w:val="24"/>
        </w:rPr>
        <w:t>.</w:t>
      </w:r>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Janë kryer </w:t>
      </w:r>
      <w:r w:rsidRPr="00C752F0">
        <w:rPr>
          <w:rFonts w:ascii="Times New Roman" w:eastAsia="Times New Roman" w:hAnsi="Times New Roman" w:cs="Times New Roman"/>
          <w:b/>
          <w:bCs/>
          <w:sz w:val="24"/>
          <w:szCs w:val="24"/>
        </w:rPr>
        <w:t>137 modifikime</w:t>
      </w:r>
      <w:r w:rsidRPr="000E1060">
        <w:rPr>
          <w:rFonts w:ascii="Times New Roman" w:eastAsia="Times New Roman" w:hAnsi="Times New Roman" w:cs="Times New Roman"/>
          <w:sz w:val="24"/>
          <w:szCs w:val="24"/>
        </w:rPr>
        <w:t xml:space="preserve"> të </w:t>
      </w:r>
      <w:proofErr w:type="spellStart"/>
      <w:r w:rsidRPr="000E1060">
        <w:rPr>
          <w:rFonts w:ascii="Times New Roman" w:eastAsia="Times New Roman" w:hAnsi="Times New Roman" w:cs="Times New Roman"/>
          <w:sz w:val="24"/>
          <w:szCs w:val="24"/>
        </w:rPr>
        <w:t>të</w:t>
      </w:r>
      <w:proofErr w:type="spellEnd"/>
      <w:r w:rsidRPr="000E1060">
        <w:rPr>
          <w:rFonts w:ascii="Times New Roman" w:eastAsia="Times New Roman" w:hAnsi="Times New Roman" w:cs="Times New Roman"/>
          <w:sz w:val="24"/>
          <w:szCs w:val="24"/>
        </w:rPr>
        <w:t xml:space="preserve"> dhënave të pronës përmes sistemit.</w:t>
      </w:r>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Janë realizuar </w:t>
      </w:r>
      <w:r w:rsidRPr="00C752F0">
        <w:rPr>
          <w:rFonts w:ascii="Times New Roman" w:eastAsia="Times New Roman" w:hAnsi="Times New Roman" w:cs="Times New Roman"/>
          <w:b/>
          <w:bCs/>
          <w:sz w:val="24"/>
          <w:szCs w:val="24"/>
        </w:rPr>
        <w:t>510 modifikime</w:t>
      </w:r>
      <w:r w:rsidRPr="000E1060">
        <w:rPr>
          <w:rFonts w:ascii="Times New Roman" w:eastAsia="Times New Roman" w:hAnsi="Times New Roman" w:cs="Times New Roman"/>
          <w:sz w:val="24"/>
          <w:szCs w:val="24"/>
        </w:rPr>
        <w:t xml:space="preserve"> të </w:t>
      </w:r>
      <w:proofErr w:type="spellStart"/>
      <w:r w:rsidRPr="000E1060">
        <w:rPr>
          <w:rFonts w:ascii="Times New Roman" w:eastAsia="Times New Roman" w:hAnsi="Times New Roman" w:cs="Times New Roman"/>
          <w:sz w:val="24"/>
          <w:szCs w:val="24"/>
        </w:rPr>
        <w:t>të</w:t>
      </w:r>
      <w:proofErr w:type="spellEnd"/>
      <w:r w:rsidRPr="000E1060">
        <w:rPr>
          <w:rFonts w:ascii="Times New Roman" w:eastAsia="Times New Roman" w:hAnsi="Times New Roman" w:cs="Times New Roman"/>
          <w:sz w:val="24"/>
          <w:szCs w:val="24"/>
        </w:rPr>
        <w:t xml:space="preserve"> dhënave të relacionit të tatimpaguesit përmes sistemit.</w:t>
      </w:r>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Janë bërë </w:t>
      </w:r>
      <w:r w:rsidRPr="00C752F0">
        <w:rPr>
          <w:rFonts w:ascii="Times New Roman" w:eastAsia="Times New Roman" w:hAnsi="Times New Roman" w:cs="Times New Roman"/>
          <w:b/>
          <w:bCs/>
          <w:sz w:val="24"/>
          <w:szCs w:val="24"/>
        </w:rPr>
        <w:t>1,887 modifikime</w:t>
      </w:r>
      <w:r w:rsidRPr="000E1060">
        <w:rPr>
          <w:rFonts w:ascii="Times New Roman" w:eastAsia="Times New Roman" w:hAnsi="Times New Roman" w:cs="Times New Roman"/>
          <w:sz w:val="24"/>
          <w:szCs w:val="24"/>
        </w:rPr>
        <w:t xml:space="preserve"> të </w:t>
      </w:r>
      <w:proofErr w:type="spellStart"/>
      <w:r w:rsidRPr="000E1060">
        <w:rPr>
          <w:rFonts w:ascii="Times New Roman" w:eastAsia="Times New Roman" w:hAnsi="Times New Roman" w:cs="Times New Roman"/>
          <w:sz w:val="24"/>
          <w:szCs w:val="24"/>
        </w:rPr>
        <w:t>të</w:t>
      </w:r>
      <w:proofErr w:type="spellEnd"/>
      <w:r w:rsidRPr="000E1060">
        <w:rPr>
          <w:rFonts w:ascii="Times New Roman" w:eastAsia="Times New Roman" w:hAnsi="Times New Roman" w:cs="Times New Roman"/>
          <w:sz w:val="24"/>
          <w:szCs w:val="24"/>
        </w:rPr>
        <w:t xml:space="preserve"> dhënave të tatimpaguesve.</w:t>
      </w:r>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Janë kryer </w:t>
      </w:r>
      <w:r w:rsidRPr="00C752F0">
        <w:rPr>
          <w:rFonts w:ascii="Times New Roman" w:eastAsia="Times New Roman" w:hAnsi="Times New Roman" w:cs="Times New Roman"/>
          <w:b/>
          <w:bCs/>
          <w:sz w:val="24"/>
          <w:szCs w:val="24"/>
        </w:rPr>
        <w:t>452 korrigjime manuale</w:t>
      </w:r>
      <w:r w:rsidRPr="000E1060">
        <w:rPr>
          <w:rFonts w:ascii="Times New Roman" w:eastAsia="Times New Roman" w:hAnsi="Times New Roman" w:cs="Times New Roman"/>
          <w:sz w:val="24"/>
          <w:szCs w:val="24"/>
        </w:rPr>
        <w:t xml:space="preserve"> të </w:t>
      </w:r>
      <w:proofErr w:type="spellStart"/>
      <w:r w:rsidRPr="000E1060">
        <w:rPr>
          <w:rFonts w:ascii="Times New Roman" w:eastAsia="Times New Roman" w:hAnsi="Times New Roman" w:cs="Times New Roman"/>
          <w:sz w:val="24"/>
          <w:szCs w:val="24"/>
        </w:rPr>
        <w:t>të</w:t>
      </w:r>
      <w:proofErr w:type="spellEnd"/>
      <w:r w:rsidRPr="000E1060">
        <w:rPr>
          <w:rFonts w:ascii="Times New Roman" w:eastAsia="Times New Roman" w:hAnsi="Times New Roman" w:cs="Times New Roman"/>
          <w:sz w:val="24"/>
          <w:szCs w:val="24"/>
        </w:rPr>
        <w:t xml:space="preserve"> dhënave.</w:t>
      </w:r>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Janë lëshuar gjithsej </w:t>
      </w:r>
      <w:r w:rsidRPr="00C752F0">
        <w:rPr>
          <w:rFonts w:ascii="Times New Roman" w:eastAsia="Times New Roman" w:hAnsi="Times New Roman" w:cs="Times New Roman"/>
          <w:b/>
          <w:bCs/>
          <w:sz w:val="24"/>
          <w:szCs w:val="24"/>
        </w:rPr>
        <w:t>297 certifikata</w:t>
      </w:r>
      <w:r w:rsidRPr="000E1060">
        <w:rPr>
          <w:rFonts w:ascii="Times New Roman" w:eastAsia="Times New Roman" w:hAnsi="Times New Roman" w:cs="Times New Roman"/>
          <w:sz w:val="24"/>
          <w:szCs w:val="24"/>
        </w:rPr>
        <w:t>, bazuar në librin zyrtar të protokollit.</w:t>
      </w:r>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Janë nxjerrë vendime për shqyrtim në </w:t>
      </w:r>
      <w:r w:rsidRPr="00C752F0">
        <w:rPr>
          <w:rFonts w:ascii="Times New Roman" w:eastAsia="Times New Roman" w:hAnsi="Times New Roman" w:cs="Times New Roman"/>
          <w:b/>
          <w:bCs/>
          <w:sz w:val="24"/>
          <w:szCs w:val="24"/>
        </w:rPr>
        <w:t>shkallën e parë dhe të dytë</w:t>
      </w:r>
      <w:r w:rsidRPr="000E1060">
        <w:rPr>
          <w:rFonts w:ascii="Times New Roman" w:eastAsia="Times New Roman" w:hAnsi="Times New Roman" w:cs="Times New Roman"/>
          <w:sz w:val="24"/>
          <w:szCs w:val="24"/>
        </w:rPr>
        <w:t xml:space="preserve"> për ankesa pranë Departamentit të Tatimit në Pronë, për vitin </w:t>
      </w:r>
      <w:r w:rsidRPr="00C752F0">
        <w:rPr>
          <w:rFonts w:ascii="Times New Roman" w:eastAsia="Times New Roman" w:hAnsi="Times New Roman" w:cs="Times New Roman"/>
          <w:b/>
          <w:bCs/>
          <w:sz w:val="24"/>
          <w:szCs w:val="24"/>
        </w:rPr>
        <w:t>2024</w:t>
      </w:r>
      <w:r w:rsidRPr="000E1060">
        <w:rPr>
          <w:rFonts w:ascii="Times New Roman" w:eastAsia="Times New Roman" w:hAnsi="Times New Roman" w:cs="Times New Roman"/>
          <w:sz w:val="24"/>
          <w:szCs w:val="24"/>
        </w:rPr>
        <w:t>.</w:t>
      </w:r>
    </w:p>
    <w:p w:rsidR="000E1060" w:rsidRPr="000E1060" w:rsidRDefault="000E1060" w:rsidP="00E269EE">
      <w:pPr>
        <w:numPr>
          <w:ilvl w:val="0"/>
          <w:numId w:val="36"/>
        </w:numPr>
        <w:spacing w:after="100" w:afterAutospacing="1" w:line="240" w:lineRule="auto"/>
        <w:rPr>
          <w:rFonts w:ascii="Times New Roman" w:eastAsia="Times New Roman" w:hAnsi="Times New Roman" w:cs="Times New Roman"/>
          <w:sz w:val="24"/>
          <w:szCs w:val="24"/>
        </w:rPr>
      </w:pPr>
      <w:r w:rsidRPr="000E1060">
        <w:rPr>
          <w:rFonts w:ascii="Times New Roman" w:eastAsia="Times New Roman" w:hAnsi="Times New Roman" w:cs="Times New Roman"/>
          <w:sz w:val="24"/>
          <w:szCs w:val="24"/>
        </w:rPr>
        <w:t xml:space="preserve">Është bërë përmirësimi i të gjitha pagesave të dështuara dhe pagesave pa </w:t>
      </w:r>
      <w:proofErr w:type="spellStart"/>
      <w:r w:rsidRPr="00C752F0">
        <w:rPr>
          <w:rFonts w:ascii="Times New Roman" w:eastAsia="Times New Roman" w:hAnsi="Times New Roman" w:cs="Times New Roman"/>
          <w:b/>
          <w:bCs/>
          <w:sz w:val="24"/>
          <w:szCs w:val="24"/>
        </w:rPr>
        <w:t>Uniref</w:t>
      </w:r>
      <w:proofErr w:type="spellEnd"/>
      <w:r w:rsidRPr="000E1060">
        <w:rPr>
          <w:rFonts w:ascii="Times New Roman" w:eastAsia="Times New Roman" w:hAnsi="Times New Roman" w:cs="Times New Roman"/>
          <w:sz w:val="24"/>
          <w:szCs w:val="24"/>
        </w:rPr>
        <w:t>, të dërguara nga DTP-ja, në koordinim të vazhdueshëm me raportet e lëshuara nga Zyra e të Hyrave.</w:t>
      </w:r>
    </w:p>
    <w:p w:rsidR="005D6F90" w:rsidRPr="00C752F0" w:rsidRDefault="005D6F90" w:rsidP="009E7C27">
      <w:pPr>
        <w:spacing w:line="360" w:lineRule="auto"/>
        <w:jc w:val="right"/>
        <w:rPr>
          <w:rFonts w:ascii="Times New Roman" w:hAnsi="Times New Roman" w:cs="Times New Roman"/>
          <w:sz w:val="24"/>
          <w:szCs w:val="24"/>
        </w:rPr>
      </w:pPr>
    </w:p>
    <w:p w:rsidR="00200335" w:rsidRPr="00C752F0" w:rsidRDefault="00200335" w:rsidP="009E7C27">
      <w:pPr>
        <w:spacing w:after="0" w:line="240" w:lineRule="auto"/>
        <w:jc w:val="right"/>
        <w:rPr>
          <w:rFonts w:ascii="Times New Roman" w:hAnsi="Times New Roman" w:cs="Times New Roman"/>
          <w:sz w:val="24"/>
          <w:szCs w:val="24"/>
        </w:rPr>
      </w:pPr>
      <w:r w:rsidRPr="00C752F0">
        <w:rPr>
          <w:rFonts w:ascii="Times New Roman" w:hAnsi="Times New Roman" w:cs="Times New Roman"/>
          <w:sz w:val="24"/>
          <w:szCs w:val="24"/>
        </w:rPr>
        <w:t xml:space="preserve">                                                                                              Drejtoreshë Për Buxhet dhe Financa</w:t>
      </w:r>
    </w:p>
    <w:p w:rsidR="00C752F0" w:rsidRDefault="009E7C27" w:rsidP="00C752F0">
      <w:pPr>
        <w:spacing w:after="0" w:line="240" w:lineRule="auto"/>
        <w:jc w:val="center"/>
        <w:rPr>
          <w:rFonts w:ascii="Times New Roman" w:hAnsi="Times New Roman" w:cs="Times New Roman"/>
          <w:sz w:val="24"/>
          <w:szCs w:val="24"/>
        </w:rPr>
      </w:pPr>
      <w:r w:rsidRPr="00C752F0">
        <w:rPr>
          <w:rFonts w:ascii="Times New Roman" w:hAnsi="Times New Roman" w:cs="Times New Roman"/>
          <w:sz w:val="24"/>
          <w:szCs w:val="24"/>
        </w:rPr>
        <w:t xml:space="preserve">                                                                                 </w:t>
      </w:r>
      <w:r w:rsidR="00C752F0">
        <w:rPr>
          <w:rFonts w:ascii="Times New Roman" w:hAnsi="Times New Roman" w:cs="Times New Roman"/>
          <w:sz w:val="24"/>
          <w:szCs w:val="24"/>
        </w:rPr>
        <w:t xml:space="preserve">                              </w:t>
      </w:r>
      <w:r w:rsidRPr="00C752F0">
        <w:rPr>
          <w:rFonts w:ascii="Times New Roman" w:hAnsi="Times New Roman" w:cs="Times New Roman"/>
          <w:sz w:val="24"/>
          <w:szCs w:val="24"/>
        </w:rPr>
        <w:t xml:space="preserve"> </w:t>
      </w:r>
      <w:r w:rsidR="00200335" w:rsidRPr="00C752F0">
        <w:rPr>
          <w:rFonts w:ascii="Times New Roman" w:hAnsi="Times New Roman" w:cs="Times New Roman"/>
          <w:sz w:val="24"/>
          <w:szCs w:val="24"/>
        </w:rPr>
        <w:t>Da</w:t>
      </w:r>
      <w:r w:rsidR="00C752F0">
        <w:rPr>
          <w:rFonts w:ascii="Times New Roman" w:hAnsi="Times New Roman" w:cs="Times New Roman"/>
          <w:sz w:val="24"/>
          <w:szCs w:val="24"/>
        </w:rPr>
        <w:t xml:space="preserve">fina Cacaj </w:t>
      </w:r>
      <w:r w:rsidRPr="00C752F0">
        <w:rPr>
          <w:rFonts w:ascii="Times New Roman" w:hAnsi="Times New Roman" w:cs="Times New Roman"/>
          <w:sz w:val="24"/>
          <w:szCs w:val="24"/>
        </w:rPr>
        <w:t xml:space="preserve">                                                                                                                 </w:t>
      </w:r>
      <w:r w:rsidR="00C752F0">
        <w:rPr>
          <w:rFonts w:ascii="Times New Roman" w:hAnsi="Times New Roman" w:cs="Times New Roman"/>
          <w:sz w:val="24"/>
          <w:szCs w:val="24"/>
        </w:rPr>
        <w:t xml:space="preserve">                                          </w:t>
      </w:r>
    </w:p>
    <w:p w:rsidR="00C752F0" w:rsidRDefault="00C752F0" w:rsidP="00C752F0">
      <w:pPr>
        <w:spacing w:after="0" w:line="240" w:lineRule="auto"/>
        <w:jc w:val="center"/>
        <w:rPr>
          <w:rFonts w:ascii="Times New Roman" w:hAnsi="Times New Roman" w:cs="Times New Roman"/>
          <w:sz w:val="24"/>
          <w:szCs w:val="24"/>
        </w:rPr>
      </w:pPr>
    </w:p>
    <w:p w:rsidR="008D7E3A" w:rsidRPr="00C752F0" w:rsidRDefault="00C752F0" w:rsidP="00C75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_________________       </w:t>
      </w:r>
    </w:p>
    <w:sectPr w:rsidR="008D7E3A" w:rsidRPr="00C752F0" w:rsidSect="00237661">
      <w:footerReference w:type="default" r:id="rId10"/>
      <w:pgSz w:w="12240" w:h="15840"/>
      <w:pgMar w:top="1440" w:right="1440"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E4" w:rsidRDefault="00B10BE4" w:rsidP="00200335">
      <w:pPr>
        <w:spacing w:after="0" w:line="240" w:lineRule="auto"/>
      </w:pPr>
      <w:r>
        <w:separator/>
      </w:r>
    </w:p>
  </w:endnote>
  <w:endnote w:type="continuationSeparator" w:id="0">
    <w:p w:rsidR="00B10BE4" w:rsidRDefault="00B10BE4" w:rsidP="0020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232895"/>
      <w:docPartObj>
        <w:docPartGallery w:val="Page Numbers (Bottom of Page)"/>
        <w:docPartUnique/>
      </w:docPartObj>
    </w:sdtPr>
    <w:sdtEndPr>
      <w:rPr>
        <w:noProof/>
      </w:rPr>
    </w:sdtEndPr>
    <w:sdtContent>
      <w:p w:rsidR="00AE5C27" w:rsidRDefault="00AE5C27">
        <w:pPr>
          <w:pStyle w:val="Footer"/>
          <w:jc w:val="right"/>
        </w:pPr>
        <w:r>
          <w:fldChar w:fldCharType="begin"/>
        </w:r>
        <w:r>
          <w:instrText xml:space="preserve"> PAGE   \* MERGEFORMAT </w:instrText>
        </w:r>
        <w:r>
          <w:fldChar w:fldCharType="separate"/>
        </w:r>
        <w:r w:rsidR="000079B2">
          <w:rPr>
            <w:noProof/>
          </w:rPr>
          <w:t>11</w:t>
        </w:r>
        <w:r>
          <w:rPr>
            <w:noProof/>
          </w:rPr>
          <w:fldChar w:fldCharType="end"/>
        </w:r>
      </w:p>
    </w:sdtContent>
  </w:sdt>
  <w:p w:rsidR="00AE5C27" w:rsidRDefault="00AE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E4" w:rsidRDefault="00B10BE4" w:rsidP="00200335">
      <w:pPr>
        <w:spacing w:after="0" w:line="240" w:lineRule="auto"/>
      </w:pPr>
      <w:r>
        <w:separator/>
      </w:r>
    </w:p>
  </w:footnote>
  <w:footnote w:type="continuationSeparator" w:id="0">
    <w:p w:rsidR="00B10BE4" w:rsidRDefault="00B10BE4" w:rsidP="00200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759"/>
    <w:multiLevelType w:val="multilevel"/>
    <w:tmpl w:val="3C4811E8"/>
    <w:lvl w:ilvl="0">
      <w:start w:val="1"/>
      <w:numFmt w:val="decimal"/>
      <w:lvlText w:val="%1."/>
      <w:lvlJc w:val="left"/>
      <w:pPr>
        <w:ind w:left="360" w:hanging="360"/>
      </w:pPr>
      <w:rPr>
        <w:rFonts w:eastAsiaTheme="minorHAnsi" w:hint="default"/>
      </w:rPr>
    </w:lvl>
    <w:lvl w:ilvl="1">
      <w:start w:val="3"/>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 w15:restartNumberingAfterBreak="0">
    <w:nsid w:val="03306C8A"/>
    <w:multiLevelType w:val="hybridMultilevel"/>
    <w:tmpl w:val="447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C2209"/>
    <w:multiLevelType w:val="multilevel"/>
    <w:tmpl w:val="FB0E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94A63"/>
    <w:multiLevelType w:val="hybridMultilevel"/>
    <w:tmpl w:val="D7E0240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05E842F6"/>
    <w:multiLevelType w:val="hybridMultilevel"/>
    <w:tmpl w:val="41D6317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8C4041A"/>
    <w:multiLevelType w:val="hybridMultilevel"/>
    <w:tmpl w:val="13C2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81B7B"/>
    <w:multiLevelType w:val="hybridMultilevel"/>
    <w:tmpl w:val="EF1A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A62B5"/>
    <w:multiLevelType w:val="hybridMultilevel"/>
    <w:tmpl w:val="B262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F42D9"/>
    <w:multiLevelType w:val="hybridMultilevel"/>
    <w:tmpl w:val="72129280"/>
    <w:lvl w:ilvl="0" w:tplc="041C0001">
      <w:start w:val="1"/>
      <w:numFmt w:val="bullet"/>
      <w:lvlText w:val=""/>
      <w:lvlJc w:val="left"/>
      <w:pPr>
        <w:ind w:left="780" w:hanging="360"/>
      </w:pPr>
      <w:rPr>
        <w:rFonts w:ascii="Symbol" w:hAnsi="Symbol"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9" w15:restartNumberingAfterBreak="0">
    <w:nsid w:val="14552407"/>
    <w:multiLevelType w:val="multilevel"/>
    <w:tmpl w:val="CEA0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51E84"/>
    <w:multiLevelType w:val="hybridMultilevel"/>
    <w:tmpl w:val="B1220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E4F77"/>
    <w:multiLevelType w:val="hybridMultilevel"/>
    <w:tmpl w:val="99A4D01C"/>
    <w:lvl w:ilvl="0" w:tplc="04090001">
      <w:start w:val="1"/>
      <w:numFmt w:val="bullet"/>
      <w:lvlText w:val=""/>
      <w:lvlJc w:val="left"/>
      <w:pPr>
        <w:tabs>
          <w:tab w:val="num" w:pos="1320"/>
        </w:tabs>
        <w:ind w:left="13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B8F77E9"/>
    <w:multiLevelType w:val="multilevel"/>
    <w:tmpl w:val="CE3C8E7E"/>
    <w:lvl w:ilvl="0">
      <w:start w:val="2"/>
      <w:numFmt w:val="decimal"/>
      <w:lvlText w:val="%1."/>
      <w:lvlJc w:val="left"/>
      <w:pPr>
        <w:ind w:left="510" w:hanging="51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00515AB"/>
    <w:multiLevelType w:val="hybridMultilevel"/>
    <w:tmpl w:val="0654086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22B52053"/>
    <w:multiLevelType w:val="multilevel"/>
    <w:tmpl w:val="E60CF7BE"/>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9E4660"/>
    <w:multiLevelType w:val="hybridMultilevel"/>
    <w:tmpl w:val="3AE2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F3981"/>
    <w:multiLevelType w:val="hybridMultilevel"/>
    <w:tmpl w:val="4B64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C701B"/>
    <w:multiLevelType w:val="hybridMultilevel"/>
    <w:tmpl w:val="14A20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3E7B55"/>
    <w:multiLevelType w:val="hybridMultilevel"/>
    <w:tmpl w:val="21D8C140"/>
    <w:lvl w:ilvl="0" w:tplc="041C0001">
      <w:start w:val="1"/>
      <w:numFmt w:val="bullet"/>
      <w:lvlText w:val=""/>
      <w:lvlJc w:val="left"/>
      <w:pPr>
        <w:ind w:left="776" w:hanging="360"/>
      </w:pPr>
      <w:rPr>
        <w:rFonts w:ascii="Symbol" w:hAnsi="Symbol" w:hint="default"/>
      </w:rPr>
    </w:lvl>
    <w:lvl w:ilvl="1" w:tplc="041C0003" w:tentative="1">
      <w:start w:val="1"/>
      <w:numFmt w:val="bullet"/>
      <w:lvlText w:val="o"/>
      <w:lvlJc w:val="left"/>
      <w:pPr>
        <w:ind w:left="1496" w:hanging="360"/>
      </w:pPr>
      <w:rPr>
        <w:rFonts w:ascii="Courier New" w:hAnsi="Courier New" w:cs="Courier New" w:hint="default"/>
      </w:rPr>
    </w:lvl>
    <w:lvl w:ilvl="2" w:tplc="041C0005" w:tentative="1">
      <w:start w:val="1"/>
      <w:numFmt w:val="bullet"/>
      <w:lvlText w:val=""/>
      <w:lvlJc w:val="left"/>
      <w:pPr>
        <w:ind w:left="2216" w:hanging="360"/>
      </w:pPr>
      <w:rPr>
        <w:rFonts w:ascii="Wingdings" w:hAnsi="Wingdings" w:hint="default"/>
      </w:rPr>
    </w:lvl>
    <w:lvl w:ilvl="3" w:tplc="041C0001" w:tentative="1">
      <w:start w:val="1"/>
      <w:numFmt w:val="bullet"/>
      <w:lvlText w:val=""/>
      <w:lvlJc w:val="left"/>
      <w:pPr>
        <w:ind w:left="2936" w:hanging="360"/>
      </w:pPr>
      <w:rPr>
        <w:rFonts w:ascii="Symbol" w:hAnsi="Symbol" w:hint="default"/>
      </w:rPr>
    </w:lvl>
    <w:lvl w:ilvl="4" w:tplc="041C0003" w:tentative="1">
      <w:start w:val="1"/>
      <w:numFmt w:val="bullet"/>
      <w:lvlText w:val="o"/>
      <w:lvlJc w:val="left"/>
      <w:pPr>
        <w:ind w:left="3656" w:hanging="360"/>
      </w:pPr>
      <w:rPr>
        <w:rFonts w:ascii="Courier New" w:hAnsi="Courier New" w:cs="Courier New" w:hint="default"/>
      </w:rPr>
    </w:lvl>
    <w:lvl w:ilvl="5" w:tplc="041C0005" w:tentative="1">
      <w:start w:val="1"/>
      <w:numFmt w:val="bullet"/>
      <w:lvlText w:val=""/>
      <w:lvlJc w:val="left"/>
      <w:pPr>
        <w:ind w:left="4376" w:hanging="360"/>
      </w:pPr>
      <w:rPr>
        <w:rFonts w:ascii="Wingdings" w:hAnsi="Wingdings" w:hint="default"/>
      </w:rPr>
    </w:lvl>
    <w:lvl w:ilvl="6" w:tplc="041C0001" w:tentative="1">
      <w:start w:val="1"/>
      <w:numFmt w:val="bullet"/>
      <w:lvlText w:val=""/>
      <w:lvlJc w:val="left"/>
      <w:pPr>
        <w:ind w:left="5096" w:hanging="360"/>
      </w:pPr>
      <w:rPr>
        <w:rFonts w:ascii="Symbol" w:hAnsi="Symbol" w:hint="default"/>
      </w:rPr>
    </w:lvl>
    <w:lvl w:ilvl="7" w:tplc="041C0003" w:tentative="1">
      <w:start w:val="1"/>
      <w:numFmt w:val="bullet"/>
      <w:lvlText w:val="o"/>
      <w:lvlJc w:val="left"/>
      <w:pPr>
        <w:ind w:left="5816" w:hanging="360"/>
      </w:pPr>
      <w:rPr>
        <w:rFonts w:ascii="Courier New" w:hAnsi="Courier New" w:cs="Courier New" w:hint="default"/>
      </w:rPr>
    </w:lvl>
    <w:lvl w:ilvl="8" w:tplc="041C0005" w:tentative="1">
      <w:start w:val="1"/>
      <w:numFmt w:val="bullet"/>
      <w:lvlText w:val=""/>
      <w:lvlJc w:val="left"/>
      <w:pPr>
        <w:ind w:left="6536" w:hanging="360"/>
      </w:pPr>
      <w:rPr>
        <w:rFonts w:ascii="Wingdings" w:hAnsi="Wingdings" w:hint="default"/>
      </w:rPr>
    </w:lvl>
  </w:abstractNum>
  <w:abstractNum w:abstractNumId="19" w15:restartNumberingAfterBreak="0">
    <w:nsid w:val="333C35BB"/>
    <w:multiLevelType w:val="multilevel"/>
    <w:tmpl w:val="1BE6850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3E1B35"/>
    <w:multiLevelType w:val="hybridMultilevel"/>
    <w:tmpl w:val="D32E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900D1"/>
    <w:multiLevelType w:val="hybridMultilevel"/>
    <w:tmpl w:val="7CB469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31C6B"/>
    <w:multiLevelType w:val="multilevel"/>
    <w:tmpl w:val="D432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57886"/>
    <w:multiLevelType w:val="multilevel"/>
    <w:tmpl w:val="F90E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3A2B42"/>
    <w:multiLevelType w:val="hybridMultilevel"/>
    <w:tmpl w:val="B7388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624B4"/>
    <w:multiLevelType w:val="hybridMultilevel"/>
    <w:tmpl w:val="A15AA63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D95B34"/>
    <w:multiLevelType w:val="hybridMultilevel"/>
    <w:tmpl w:val="3CAAD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1D6190"/>
    <w:multiLevelType w:val="hybridMultilevel"/>
    <w:tmpl w:val="4D541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277725"/>
    <w:multiLevelType w:val="hybridMultilevel"/>
    <w:tmpl w:val="EE48CB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43282161"/>
    <w:multiLevelType w:val="multilevel"/>
    <w:tmpl w:val="87A0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A13345"/>
    <w:multiLevelType w:val="hybridMultilevel"/>
    <w:tmpl w:val="4668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3762D"/>
    <w:multiLevelType w:val="hybridMultilevel"/>
    <w:tmpl w:val="BFFE1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6C7C97"/>
    <w:multiLevelType w:val="hybridMultilevel"/>
    <w:tmpl w:val="A5DEE98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535354B7"/>
    <w:multiLevelType w:val="hybridMultilevel"/>
    <w:tmpl w:val="721C170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5AC45BB6"/>
    <w:multiLevelType w:val="hybridMultilevel"/>
    <w:tmpl w:val="345878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5D4A2B74"/>
    <w:multiLevelType w:val="hybridMultilevel"/>
    <w:tmpl w:val="6E8428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5E0F2970"/>
    <w:multiLevelType w:val="multilevel"/>
    <w:tmpl w:val="E15E842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20B07B6"/>
    <w:multiLevelType w:val="hybridMultilevel"/>
    <w:tmpl w:val="599E9CF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15:restartNumberingAfterBreak="0">
    <w:nsid w:val="62D8395F"/>
    <w:multiLevelType w:val="hybridMultilevel"/>
    <w:tmpl w:val="67689D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68D6187A"/>
    <w:multiLevelType w:val="hybridMultilevel"/>
    <w:tmpl w:val="173473A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2A293A"/>
    <w:multiLevelType w:val="multilevel"/>
    <w:tmpl w:val="8B6E9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1C6C19"/>
    <w:multiLevelType w:val="multilevel"/>
    <w:tmpl w:val="F7760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ED2326"/>
    <w:multiLevelType w:val="multilevel"/>
    <w:tmpl w:val="58CC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44F2F"/>
    <w:multiLevelType w:val="multilevel"/>
    <w:tmpl w:val="0C6876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7F79BE"/>
    <w:multiLevelType w:val="hybridMultilevel"/>
    <w:tmpl w:val="03460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62890"/>
    <w:multiLevelType w:val="hybridMultilevel"/>
    <w:tmpl w:val="9266E7E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6" w15:restartNumberingAfterBreak="0">
    <w:nsid w:val="7F70368B"/>
    <w:multiLevelType w:val="hybridMultilevel"/>
    <w:tmpl w:val="42E6C36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46"/>
  </w:num>
  <w:num w:numId="2">
    <w:abstractNumId w:val="32"/>
  </w:num>
  <w:num w:numId="3">
    <w:abstractNumId w:val="41"/>
  </w:num>
  <w:num w:numId="4">
    <w:abstractNumId w:val="33"/>
  </w:num>
  <w:num w:numId="5">
    <w:abstractNumId w:val="45"/>
  </w:num>
  <w:num w:numId="6">
    <w:abstractNumId w:val="8"/>
  </w:num>
  <w:num w:numId="7">
    <w:abstractNumId w:val="13"/>
  </w:num>
  <w:num w:numId="8">
    <w:abstractNumId w:val="14"/>
  </w:num>
  <w:num w:numId="9">
    <w:abstractNumId w:val="4"/>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1"/>
  </w:num>
  <w:num w:numId="13">
    <w:abstractNumId w:val="12"/>
  </w:num>
  <w:num w:numId="14">
    <w:abstractNumId w:val="21"/>
  </w:num>
  <w:num w:numId="15">
    <w:abstractNumId w:val="10"/>
  </w:num>
  <w:num w:numId="16">
    <w:abstractNumId w:val="17"/>
  </w:num>
  <w:num w:numId="17">
    <w:abstractNumId w:val="38"/>
  </w:num>
  <w:num w:numId="18">
    <w:abstractNumId w:val="28"/>
  </w:num>
  <w:num w:numId="19">
    <w:abstractNumId w:val="24"/>
  </w:num>
  <w:num w:numId="20">
    <w:abstractNumId w:val="18"/>
  </w:num>
  <w:num w:numId="21">
    <w:abstractNumId w:val="3"/>
  </w:num>
  <w:num w:numId="22">
    <w:abstractNumId w:val="34"/>
  </w:num>
  <w:num w:numId="23">
    <w:abstractNumId w:val="30"/>
  </w:num>
  <w:num w:numId="24">
    <w:abstractNumId w:val="35"/>
  </w:num>
  <w:num w:numId="25">
    <w:abstractNumId w:val="16"/>
  </w:num>
  <w:num w:numId="26">
    <w:abstractNumId w:val="26"/>
  </w:num>
  <w:num w:numId="27">
    <w:abstractNumId w:val="6"/>
  </w:num>
  <w:num w:numId="28">
    <w:abstractNumId w:val="27"/>
  </w:num>
  <w:num w:numId="29">
    <w:abstractNumId w:val="15"/>
  </w:num>
  <w:num w:numId="30">
    <w:abstractNumId w:val="39"/>
  </w:num>
  <w:num w:numId="31">
    <w:abstractNumId w:val="37"/>
  </w:num>
  <w:num w:numId="32">
    <w:abstractNumId w:val="25"/>
  </w:num>
  <w:num w:numId="33">
    <w:abstractNumId w:val="43"/>
  </w:num>
  <w:num w:numId="34">
    <w:abstractNumId w:val="7"/>
  </w:num>
  <w:num w:numId="35">
    <w:abstractNumId w:val="44"/>
  </w:num>
  <w:num w:numId="36">
    <w:abstractNumId w:val="40"/>
  </w:num>
  <w:num w:numId="37">
    <w:abstractNumId w:val="22"/>
  </w:num>
  <w:num w:numId="38">
    <w:abstractNumId w:val="5"/>
  </w:num>
  <w:num w:numId="39">
    <w:abstractNumId w:val="19"/>
  </w:num>
  <w:num w:numId="40">
    <w:abstractNumId w:val="42"/>
  </w:num>
  <w:num w:numId="41">
    <w:abstractNumId w:val="23"/>
  </w:num>
  <w:num w:numId="42">
    <w:abstractNumId w:val="2"/>
  </w:num>
  <w:num w:numId="43">
    <w:abstractNumId w:val="9"/>
  </w:num>
  <w:num w:numId="44">
    <w:abstractNumId w:val="29"/>
  </w:num>
  <w:num w:numId="45">
    <w:abstractNumId w:val="1"/>
  </w:num>
  <w:num w:numId="46">
    <w:abstractNumId w:val="2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3D"/>
    <w:rsid w:val="000026DE"/>
    <w:rsid w:val="000079B2"/>
    <w:rsid w:val="0003167E"/>
    <w:rsid w:val="00074474"/>
    <w:rsid w:val="0009366D"/>
    <w:rsid w:val="000A0783"/>
    <w:rsid w:val="000B300C"/>
    <w:rsid w:val="000C2ECF"/>
    <w:rsid w:val="000E1060"/>
    <w:rsid w:val="0011188E"/>
    <w:rsid w:val="00120F2B"/>
    <w:rsid w:val="0012559E"/>
    <w:rsid w:val="001736AB"/>
    <w:rsid w:val="00180FC1"/>
    <w:rsid w:val="00196111"/>
    <w:rsid w:val="001C5151"/>
    <w:rsid w:val="001D172E"/>
    <w:rsid w:val="001E11B6"/>
    <w:rsid w:val="00200335"/>
    <w:rsid w:val="00223E7C"/>
    <w:rsid w:val="00237661"/>
    <w:rsid w:val="00263F43"/>
    <w:rsid w:val="00270460"/>
    <w:rsid w:val="00290E02"/>
    <w:rsid w:val="002A29D3"/>
    <w:rsid w:val="002B1DE8"/>
    <w:rsid w:val="002F7EE1"/>
    <w:rsid w:val="00302592"/>
    <w:rsid w:val="00356888"/>
    <w:rsid w:val="0037723D"/>
    <w:rsid w:val="00380DFD"/>
    <w:rsid w:val="003959C1"/>
    <w:rsid w:val="003B7FAC"/>
    <w:rsid w:val="00412A1F"/>
    <w:rsid w:val="00453AB3"/>
    <w:rsid w:val="004C087D"/>
    <w:rsid w:val="004C5E19"/>
    <w:rsid w:val="004F0D70"/>
    <w:rsid w:val="005126DB"/>
    <w:rsid w:val="00541EE3"/>
    <w:rsid w:val="00550E9A"/>
    <w:rsid w:val="00561F39"/>
    <w:rsid w:val="00574509"/>
    <w:rsid w:val="005802E3"/>
    <w:rsid w:val="005C258A"/>
    <w:rsid w:val="005C3D42"/>
    <w:rsid w:val="005D6F90"/>
    <w:rsid w:val="0060238D"/>
    <w:rsid w:val="00612313"/>
    <w:rsid w:val="00654BD4"/>
    <w:rsid w:val="00657D49"/>
    <w:rsid w:val="006602BD"/>
    <w:rsid w:val="006862E0"/>
    <w:rsid w:val="006B0905"/>
    <w:rsid w:val="006C6755"/>
    <w:rsid w:val="006D34EF"/>
    <w:rsid w:val="006E14A6"/>
    <w:rsid w:val="00712CDC"/>
    <w:rsid w:val="007423DC"/>
    <w:rsid w:val="00754773"/>
    <w:rsid w:val="007564DE"/>
    <w:rsid w:val="00761810"/>
    <w:rsid w:val="00767569"/>
    <w:rsid w:val="007A4D0A"/>
    <w:rsid w:val="007E3828"/>
    <w:rsid w:val="007F56A0"/>
    <w:rsid w:val="008132CF"/>
    <w:rsid w:val="0083180D"/>
    <w:rsid w:val="00841C4D"/>
    <w:rsid w:val="00854186"/>
    <w:rsid w:val="00855937"/>
    <w:rsid w:val="00866499"/>
    <w:rsid w:val="00875657"/>
    <w:rsid w:val="00880DAD"/>
    <w:rsid w:val="008970F8"/>
    <w:rsid w:val="008A5A77"/>
    <w:rsid w:val="008D1CF2"/>
    <w:rsid w:val="008D383E"/>
    <w:rsid w:val="008D7E3A"/>
    <w:rsid w:val="00904BA7"/>
    <w:rsid w:val="00932AC9"/>
    <w:rsid w:val="0093677B"/>
    <w:rsid w:val="00937EE0"/>
    <w:rsid w:val="00992507"/>
    <w:rsid w:val="0099414B"/>
    <w:rsid w:val="009A0DAD"/>
    <w:rsid w:val="009C0A9A"/>
    <w:rsid w:val="009C273D"/>
    <w:rsid w:val="009C5AA3"/>
    <w:rsid w:val="009E7C27"/>
    <w:rsid w:val="009F5A00"/>
    <w:rsid w:val="00A377D6"/>
    <w:rsid w:val="00A54288"/>
    <w:rsid w:val="00A55BD2"/>
    <w:rsid w:val="00A838F9"/>
    <w:rsid w:val="00A91E46"/>
    <w:rsid w:val="00A92249"/>
    <w:rsid w:val="00AA2BD1"/>
    <w:rsid w:val="00AC7C96"/>
    <w:rsid w:val="00AE5C27"/>
    <w:rsid w:val="00AF069F"/>
    <w:rsid w:val="00AF0E71"/>
    <w:rsid w:val="00B10BE4"/>
    <w:rsid w:val="00B222DE"/>
    <w:rsid w:val="00B657E4"/>
    <w:rsid w:val="00B65A42"/>
    <w:rsid w:val="00BD52F8"/>
    <w:rsid w:val="00BD6FDF"/>
    <w:rsid w:val="00C0566E"/>
    <w:rsid w:val="00C275B5"/>
    <w:rsid w:val="00C345E3"/>
    <w:rsid w:val="00C51133"/>
    <w:rsid w:val="00C752F0"/>
    <w:rsid w:val="00CC540C"/>
    <w:rsid w:val="00CC54B9"/>
    <w:rsid w:val="00CD182F"/>
    <w:rsid w:val="00CF7352"/>
    <w:rsid w:val="00D56AA2"/>
    <w:rsid w:val="00D60D61"/>
    <w:rsid w:val="00D75A79"/>
    <w:rsid w:val="00D93994"/>
    <w:rsid w:val="00D9504A"/>
    <w:rsid w:val="00DA0593"/>
    <w:rsid w:val="00DF0B42"/>
    <w:rsid w:val="00E269EE"/>
    <w:rsid w:val="00E61B33"/>
    <w:rsid w:val="00E673FE"/>
    <w:rsid w:val="00E739F0"/>
    <w:rsid w:val="00E76738"/>
    <w:rsid w:val="00E83D3D"/>
    <w:rsid w:val="00E952CD"/>
    <w:rsid w:val="00EE38D9"/>
    <w:rsid w:val="00EE539A"/>
    <w:rsid w:val="00F1461E"/>
    <w:rsid w:val="00F23FED"/>
    <w:rsid w:val="00F40782"/>
    <w:rsid w:val="00F536AF"/>
    <w:rsid w:val="00F558B7"/>
    <w:rsid w:val="00F55BCE"/>
    <w:rsid w:val="00F7538E"/>
    <w:rsid w:val="00F96BDB"/>
    <w:rsid w:val="00FC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309EA-AD9A-4C26-805A-EF304D45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1">
    <w:name w:val="heading 1"/>
    <w:basedOn w:val="Normal"/>
    <w:next w:val="Normal"/>
    <w:link w:val="Heading1Char"/>
    <w:uiPriority w:val="9"/>
    <w:qFormat/>
    <w:rsid w:val="008D7E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7E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7E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20F2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20F2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23D"/>
    <w:pPr>
      <w:ind w:left="720"/>
      <w:contextualSpacing/>
    </w:pPr>
  </w:style>
  <w:style w:type="table" w:styleId="TableGrid">
    <w:name w:val="Table Grid"/>
    <w:basedOn w:val="TableNormal"/>
    <w:uiPriority w:val="39"/>
    <w:rsid w:val="00F1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003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335"/>
    <w:rPr>
      <w:lang w:val="sq-AL"/>
    </w:rPr>
  </w:style>
  <w:style w:type="paragraph" w:styleId="Footer">
    <w:name w:val="footer"/>
    <w:basedOn w:val="Normal"/>
    <w:link w:val="FooterChar"/>
    <w:uiPriority w:val="99"/>
    <w:unhideWhenUsed/>
    <w:rsid w:val="00200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335"/>
    <w:rPr>
      <w:lang w:val="sq-AL"/>
    </w:rPr>
  </w:style>
  <w:style w:type="character" w:customStyle="1" w:styleId="Heading1Char">
    <w:name w:val="Heading 1 Char"/>
    <w:basedOn w:val="DefaultParagraphFont"/>
    <w:link w:val="Heading1"/>
    <w:uiPriority w:val="9"/>
    <w:rsid w:val="008D7E3A"/>
    <w:rPr>
      <w:rFonts w:asciiTheme="majorHAnsi" w:eastAsiaTheme="majorEastAsia" w:hAnsiTheme="majorHAnsi" w:cstheme="majorBidi"/>
      <w:color w:val="2E74B5" w:themeColor="accent1" w:themeShade="BF"/>
      <w:sz w:val="32"/>
      <w:szCs w:val="32"/>
      <w:lang w:val="sq-AL"/>
    </w:rPr>
  </w:style>
  <w:style w:type="character" w:customStyle="1" w:styleId="Heading2Char">
    <w:name w:val="Heading 2 Char"/>
    <w:basedOn w:val="DefaultParagraphFont"/>
    <w:link w:val="Heading2"/>
    <w:uiPriority w:val="9"/>
    <w:rsid w:val="008D7E3A"/>
    <w:rPr>
      <w:rFonts w:asciiTheme="majorHAnsi" w:eastAsiaTheme="majorEastAsia" w:hAnsiTheme="majorHAnsi" w:cstheme="majorBidi"/>
      <w:color w:val="2E74B5" w:themeColor="accent1" w:themeShade="BF"/>
      <w:sz w:val="26"/>
      <w:szCs w:val="26"/>
      <w:lang w:val="sq-AL"/>
    </w:rPr>
  </w:style>
  <w:style w:type="character" w:customStyle="1" w:styleId="Heading3Char">
    <w:name w:val="Heading 3 Char"/>
    <w:basedOn w:val="DefaultParagraphFont"/>
    <w:link w:val="Heading3"/>
    <w:uiPriority w:val="9"/>
    <w:rsid w:val="008D7E3A"/>
    <w:rPr>
      <w:rFonts w:asciiTheme="majorHAnsi" w:eastAsiaTheme="majorEastAsia" w:hAnsiTheme="majorHAnsi" w:cstheme="majorBidi"/>
      <w:color w:val="1F4D78" w:themeColor="accent1" w:themeShade="7F"/>
      <w:sz w:val="24"/>
      <w:szCs w:val="24"/>
      <w:lang w:val="sq-AL"/>
    </w:rPr>
  </w:style>
  <w:style w:type="paragraph" w:styleId="TOC1">
    <w:name w:val="toc 1"/>
    <w:basedOn w:val="Normal"/>
    <w:next w:val="Normal"/>
    <w:autoRedefine/>
    <w:uiPriority w:val="39"/>
    <w:unhideWhenUsed/>
    <w:rsid w:val="008D7E3A"/>
    <w:pPr>
      <w:spacing w:after="100"/>
    </w:pPr>
  </w:style>
  <w:style w:type="paragraph" w:styleId="TOC2">
    <w:name w:val="toc 2"/>
    <w:basedOn w:val="Normal"/>
    <w:next w:val="Normal"/>
    <w:autoRedefine/>
    <w:uiPriority w:val="39"/>
    <w:unhideWhenUsed/>
    <w:rsid w:val="008D7E3A"/>
    <w:pPr>
      <w:spacing w:after="100"/>
      <w:ind w:left="220"/>
    </w:pPr>
  </w:style>
  <w:style w:type="paragraph" w:styleId="TOC3">
    <w:name w:val="toc 3"/>
    <w:basedOn w:val="Normal"/>
    <w:next w:val="Normal"/>
    <w:autoRedefine/>
    <w:uiPriority w:val="39"/>
    <w:unhideWhenUsed/>
    <w:rsid w:val="008D7E3A"/>
    <w:pPr>
      <w:spacing w:after="100"/>
      <w:ind w:left="440"/>
    </w:pPr>
  </w:style>
  <w:style w:type="character" w:styleId="Hyperlink">
    <w:name w:val="Hyperlink"/>
    <w:basedOn w:val="DefaultParagraphFont"/>
    <w:uiPriority w:val="99"/>
    <w:unhideWhenUsed/>
    <w:rsid w:val="008D7E3A"/>
    <w:rPr>
      <w:color w:val="0563C1" w:themeColor="hyperlink"/>
      <w:u w:val="single"/>
    </w:rPr>
  </w:style>
  <w:style w:type="paragraph" w:styleId="TableofFigures">
    <w:name w:val="table of figures"/>
    <w:basedOn w:val="Normal"/>
    <w:next w:val="Normal"/>
    <w:uiPriority w:val="99"/>
    <w:unhideWhenUsed/>
    <w:rsid w:val="008D7E3A"/>
    <w:pPr>
      <w:spacing w:after="0"/>
      <w:ind w:left="440" w:hanging="440"/>
    </w:pPr>
    <w:rPr>
      <w:rFonts w:cstheme="minorHAnsi"/>
      <w:caps/>
      <w:sz w:val="20"/>
      <w:szCs w:val="20"/>
    </w:rPr>
  </w:style>
  <w:style w:type="paragraph" w:styleId="FootnoteText">
    <w:name w:val="footnote text"/>
    <w:basedOn w:val="Normal"/>
    <w:link w:val="FootnoteTextChar"/>
    <w:semiHidden/>
    <w:rsid w:val="00CC540C"/>
    <w:pPr>
      <w:spacing w:after="0" w:line="240" w:lineRule="auto"/>
    </w:pPr>
    <w:rPr>
      <w:rFonts w:ascii="Times New Roman" w:eastAsia="MS Mincho" w:hAnsi="Times New Roman" w:cs="Times New Roman"/>
      <w:sz w:val="20"/>
      <w:szCs w:val="20"/>
      <w:lang w:val="en-US"/>
    </w:rPr>
  </w:style>
  <w:style w:type="character" w:customStyle="1" w:styleId="FootnoteTextChar">
    <w:name w:val="Footnote Text Char"/>
    <w:basedOn w:val="DefaultParagraphFont"/>
    <w:link w:val="FootnoteText"/>
    <w:semiHidden/>
    <w:rsid w:val="00CC540C"/>
    <w:rPr>
      <w:rFonts w:ascii="Times New Roman" w:eastAsia="MS Mincho" w:hAnsi="Times New Roman" w:cs="Times New Roman"/>
      <w:sz w:val="20"/>
      <w:szCs w:val="20"/>
    </w:rPr>
  </w:style>
  <w:style w:type="character" w:styleId="FootnoteReference">
    <w:name w:val="footnote reference"/>
    <w:semiHidden/>
    <w:rsid w:val="00CC540C"/>
    <w:rPr>
      <w:vertAlign w:val="superscript"/>
    </w:rPr>
  </w:style>
  <w:style w:type="paragraph" w:styleId="BalloonText">
    <w:name w:val="Balloon Text"/>
    <w:basedOn w:val="Normal"/>
    <w:link w:val="BalloonTextChar"/>
    <w:uiPriority w:val="99"/>
    <w:semiHidden/>
    <w:unhideWhenUsed/>
    <w:rsid w:val="008D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CF2"/>
    <w:rPr>
      <w:rFonts w:ascii="Segoe UI" w:hAnsi="Segoe UI" w:cs="Segoe UI"/>
      <w:sz w:val="18"/>
      <w:szCs w:val="18"/>
      <w:lang w:val="sq-AL"/>
    </w:rPr>
  </w:style>
  <w:style w:type="paragraph" w:styleId="Title">
    <w:name w:val="Title"/>
    <w:basedOn w:val="Normal"/>
    <w:next w:val="Normal"/>
    <w:link w:val="TitleChar"/>
    <w:uiPriority w:val="10"/>
    <w:qFormat/>
    <w:rsid w:val="00E83D3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83D3D"/>
    <w:rPr>
      <w:rFonts w:ascii="Times New Roman" w:eastAsia="Times New Roman" w:hAnsi="Times New Roman" w:cs="Times New Roman"/>
      <w:b/>
      <w:bCs/>
      <w:sz w:val="24"/>
      <w:szCs w:val="24"/>
      <w:lang w:val="sq-AL"/>
    </w:rPr>
  </w:style>
  <w:style w:type="paragraph" w:styleId="NormalWeb">
    <w:name w:val="Normal (Web)"/>
    <w:basedOn w:val="Normal"/>
    <w:uiPriority w:val="99"/>
    <w:unhideWhenUsed/>
    <w:rsid w:val="00E269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269EE"/>
    <w:rPr>
      <w:b/>
      <w:bCs/>
    </w:rPr>
  </w:style>
  <w:style w:type="character" w:customStyle="1" w:styleId="Heading4Char">
    <w:name w:val="Heading 4 Char"/>
    <w:basedOn w:val="DefaultParagraphFont"/>
    <w:link w:val="Heading4"/>
    <w:uiPriority w:val="9"/>
    <w:rsid w:val="00120F2B"/>
    <w:rPr>
      <w:rFonts w:asciiTheme="majorHAnsi" w:eastAsiaTheme="majorEastAsia" w:hAnsiTheme="majorHAnsi" w:cstheme="majorBidi"/>
      <w:i/>
      <w:iCs/>
      <w:color w:val="2E74B5" w:themeColor="accent1" w:themeShade="BF"/>
      <w:lang w:val="sq-AL"/>
    </w:rPr>
  </w:style>
  <w:style w:type="character" w:customStyle="1" w:styleId="Heading5Char">
    <w:name w:val="Heading 5 Char"/>
    <w:basedOn w:val="DefaultParagraphFont"/>
    <w:link w:val="Heading5"/>
    <w:uiPriority w:val="9"/>
    <w:rsid w:val="00120F2B"/>
    <w:rPr>
      <w:rFonts w:asciiTheme="majorHAnsi" w:eastAsiaTheme="majorEastAsia" w:hAnsiTheme="majorHAnsi" w:cstheme="majorBidi"/>
      <w:color w:val="2E74B5" w:themeColor="accent1" w:themeShade="BF"/>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9429">
      <w:bodyDiv w:val="1"/>
      <w:marLeft w:val="0"/>
      <w:marRight w:val="0"/>
      <w:marTop w:val="0"/>
      <w:marBottom w:val="0"/>
      <w:divBdr>
        <w:top w:val="none" w:sz="0" w:space="0" w:color="auto"/>
        <w:left w:val="none" w:sz="0" w:space="0" w:color="auto"/>
        <w:bottom w:val="none" w:sz="0" w:space="0" w:color="auto"/>
        <w:right w:val="none" w:sz="0" w:space="0" w:color="auto"/>
      </w:divBdr>
    </w:div>
    <w:div w:id="15737869">
      <w:bodyDiv w:val="1"/>
      <w:marLeft w:val="0"/>
      <w:marRight w:val="0"/>
      <w:marTop w:val="0"/>
      <w:marBottom w:val="0"/>
      <w:divBdr>
        <w:top w:val="none" w:sz="0" w:space="0" w:color="auto"/>
        <w:left w:val="none" w:sz="0" w:space="0" w:color="auto"/>
        <w:bottom w:val="none" w:sz="0" w:space="0" w:color="auto"/>
        <w:right w:val="none" w:sz="0" w:space="0" w:color="auto"/>
      </w:divBdr>
    </w:div>
    <w:div w:id="188031639">
      <w:bodyDiv w:val="1"/>
      <w:marLeft w:val="0"/>
      <w:marRight w:val="0"/>
      <w:marTop w:val="0"/>
      <w:marBottom w:val="0"/>
      <w:divBdr>
        <w:top w:val="none" w:sz="0" w:space="0" w:color="auto"/>
        <w:left w:val="none" w:sz="0" w:space="0" w:color="auto"/>
        <w:bottom w:val="none" w:sz="0" w:space="0" w:color="auto"/>
        <w:right w:val="none" w:sz="0" w:space="0" w:color="auto"/>
      </w:divBdr>
    </w:div>
    <w:div w:id="241990752">
      <w:bodyDiv w:val="1"/>
      <w:marLeft w:val="0"/>
      <w:marRight w:val="0"/>
      <w:marTop w:val="0"/>
      <w:marBottom w:val="0"/>
      <w:divBdr>
        <w:top w:val="none" w:sz="0" w:space="0" w:color="auto"/>
        <w:left w:val="none" w:sz="0" w:space="0" w:color="auto"/>
        <w:bottom w:val="none" w:sz="0" w:space="0" w:color="auto"/>
        <w:right w:val="none" w:sz="0" w:space="0" w:color="auto"/>
      </w:divBdr>
    </w:div>
    <w:div w:id="351541226">
      <w:bodyDiv w:val="1"/>
      <w:marLeft w:val="0"/>
      <w:marRight w:val="0"/>
      <w:marTop w:val="0"/>
      <w:marBottom w:val="0"/>
      <w:divBdr>
        <w:top w:val="none" w:sz="0" w:space="0" w:color="auto"/>
        <w:left w:val="none" w:sz="0" w:space="0" w:color="auto"/>
        <w:bottom w:val="none" w:sz="0" w:space="0" w:color="auto"/>
        <w:right w:val="none" w:sz="0" w:space="0" w:color="auto"/>
      </w:divBdr>
    </w:div>
    <w:div w:id="353849848">
      <w:bodyDiv w:val="1"/>
      <w:marLeft w:val="0"/>
      <w:marRight w:val="0"/>
      <w:marTop w:val="0"/>
      <w:marBottom w:val="0"/>
      <w:divBdr>
        <w:top w:val="none" w:sz="0" w:space="0" w:color="auto"/>
        <w:left w:val="none" w:sz="0" w:space="0" w:color="auto"/>
        <w:bottom w:val="none" w:sz="0" w:space="0" w:color="auto"/>
        <w:right w:val="none" w:sz="0" w:space="0" w:color="auto"/>
      </w:divBdr>
    </w:div>
    <w:div w:id="609974570">
      <w:bodyDiv w:val="1"/>
      <w:marLeft w:val="0"/>
      <w:marRight w:val="0"/>
      <w:marTop w:val="0"/>
      <w:marBottom w:val="0"/>
      <w:divBdr>
        <w:top w:val="none" w:sz="0" w:space="0" w:color="auto"/>
        <w:left w:val="none" w:sz="0" w:space="0" w:color="auto"/>
        <w:bottom w:val="none" w:sz="0" w:space="0" w:color="auto"/>
        <w:right w:val="none" w:sz="0" w:space="0" w:color="auto"/>
      </w:divBdr>
    </w:div>
    <w:div w:id="805510271">
      <w:bodyDiv w:val="1"/>
      <w:marLeft w:val="0"/>
      <w:marRight w:val="0"/>
      <w:marTop w:val="0"/>
      <w:marBottom w:val="0"/>
      <w:divBdr>
        <w:top w:val="none" w:sz="0" w:space="0" w:color="auto"/>
        <w:left w:val="none" w:sz="0" w:space="0" w:color="auto"/>
        <w:bottom w:val="none" w:sz="0" w:space="0" w:color="auto"/>
        <w:right w:val="none" w:sz="0" w:space="0" w:color="auto"/>
      </w:divBdr>
    </w:div>
    <w:div w:id="807285600">
      <w:bodyDiv w:val="1"/>
      <w:marLeft w:val="0"/>
      <w:marRight w:val="0"/>
      <w:marTop w:val="0"/>
      <w:marBottom w:val="0"/>
      <w:divBdr>
        <w:top w:val="none" w:sz="0" w:space="0" w:color="auto"/>
        <w:left w:val="none" w:sz="0" w:space="0" w:color="auto"/>
        <w:bottom w:val="none" w:sz="0" w:space="0" w:color="auto"/>
        <w:right w:val="none" w:sz="0" w:space="0" w:color="auto"/>
      </w:divBdr>
    </w:div>
    <w:div w:id="840244399">
      <w:bodyDiv w:val="1"/>
      <w:marLeft w:val="0"/>
      <w:marRight w:val="0"/>
      <w:marTop w:val="0"/>
      <w:marBottom w:val="0"/>
      <w:divBdr>
        <w:top w:val="none" w:sz="0" w:space="0" w:color="auto"/>
        <w:left w:val="none" w:sz="0" w:space="0" w:color="auto"/>
        <w:bottom w:val="none" w:sz="0" w:space="0" w:color="auto"/>
        <w:right w:val="none" w:sz="0" w:space="0" w:color="auto"/>
      </w:divBdr>
    </w:div>
    <w:div w:id="1015352155">
      <w:bodyDiv w:val="1"/>
      <w:marLeft w:val="0"/>
      <w:marRight w:val="0"/>
      <w:marTop w:val="0"/>
      <w:marBottom w:val="0"/>
      <w:divBdr>
        <w:top w:val="none" w:sz="0" w:space="0" w:color="auto"/>
        <w:left w:val="none" w:sz="0" w:space="0" w:color="auto"/>
        <w:bottom w:val="none" w:sz="0" w:space="0" w:color="auto"/>
        <w:right w:val="none" w:sz="0" w:space="0" w:color="auto"/>
      </w:divBdr>
    </w:div>
    <w:div w:id="1022167766">
      <w:bodyDiv w:val="1"/>
      <w:marLeft w:val="0"/>
      <w:marRight w:val="0"/>
      <w:marTop w:val="0"/>
      <w:marBottom w:val="0"/>
      <w:divBdr>
        <w:top w:val="none" w:sz="0" w:space="0" w:color="auto"/>
        <w:left w:val="none" w:sz="0" w:space="0" w:color="auto"/>
        <w:bottom w:val="none" w:sz="0" w:space="0" w:color="auto"/>
        <w:right w:val="none" w:sz="0" w:space="0" w:color="auto"/>
      </w:divBdr>
    </w:div>
    <w:div w:id="1036345538">
      <w:bodyDiv w:val="1"/>
      <w:marLeft w:val="0"/>
      <w:marRight w:val="0"/>
      <w:marTop w:val="0"/>
      <w:marBottom w:val="0"/>
      <w:divBdr>
        <w:top w:val="none" w:sz="0" w:space="0" w:color="auto"/>
        <w:left w:val="none" w:sz="0" w:space="0" w:color="auto"/>
        <w:bottom w:val="none" w:sz="0" w:space="0" w:color="auto"/>
        <w:right w:val="none" w:sz="0" w:space="0" w:color="auto"/>
      </w:divBdr>
    </w:div>
    <w:div w:id="1070273978">
      <w:bodyDiv w:val="1"/>
      <w:marLeft w:val="0"/>
      <w:marRight w:val="0"/>
      <w:marTop w:val="0"/>
      <w:marBottom w:val="0"/>
      <w:divBdr>
        <w:top w:val="none" w:sz="0" w:space="0" w:color="auto"/>
        <w:left w:val="none" w:sz="0" w:space="0" w:color="auto"/>
        <w:bottom w:val="none" w:sz="0" w:space="0" w:color="auto"/>
        <w:right w:val="none" w:sz="0" w:space="0" w:color="auto"/>
      </w:divBdr>
    </w:div>
    <w:div w:id="1109813658">
      <w:bodyDiv w:val="1"/>
      <w:marLeft w:val="0"/>
      <w:marRight w:val="0"/>
      <w:marTop w:val="0"/>
      <w:marBottom w:val="0"/>
      <w:divBdr>
        <w:top w:val="none" w:sz="0" w:space="0" w:color="auto"/>
        <w:left w:val="none" w:sz="0" w:space="0" w:color="auto"/>
        <w:bottom w:val="none" w:sz="0" w:space="0" w:color="auto"/>
        <w:right w:val="none" w:sz="0" w:space="0" w:color="auto"/>
      </w:divBdr>
    </w:div>
    <w:div w:id="1116756688">
      <w:bodyDiv w:val="1"/>
      <w:marLeft w:val="0"/>
      <w:marRight w:val="0"/>
      <w:marTop w:val="0"/>
      <w:marBottom w:val="0"/>
      <w:divBdr>
        <w:top w:val="none" w:sz="0" w:space="0" w:color="auto"/>
        <w:left w:val="none" w:sz="0" w:space="0" w:color="auto"/>
        <w:bottom w:val="none" w:sz="0" w:space="0" w:color="auto"/>
        <w:right w:val="none" w:sz="0" w:space="0" w:color="auto"/>
      </w:divBdr>
    </w:div>
    <w:div w:id="1152912923">
      <w:bodyDiv w:val="1"/>
      <w:marLeft w:val="0"/>
      <w:marRight w:val="0"/>
      <w:marTop w:val="0"/>
      <w:marBottom w:val="0"/>
      <w:divBdr>
        <w:top w:val="none" w:sz="0" w:space="0" w:color="auto"/>
        <w:left w:val="none" w:sz="0" w:space="0" w:color="auto"/>
        <w:bottom w:val="none" w:sz="0" w:space="0" w:color="auto"/>
        <w:right w:val="none" w:sz="0" w:space="0" w:color="auto"/>
      </w:divBdr>
    </w:div>
    <w:div w:id="1272396493">
      <w:bodyDiv w:val="1"/>
      <w:marLeft w:val="0"/>
      <w:marRight w:val="0"/>
      <w:marTop w:val="0"/>
      <w:marBottom w:val="0"/>
      <w:divBdr>
        <w:top w:val="none" w:sz="0" w:space="0" w:color="auto"/>
        <w:left w:val="none" w:sz="0" w:space="0" w:color="auto"/>
        <w:bottom w:val="none" w:sz="0" w:space="0" w:color="auto"/>
        <w:right w:val="none" w:sz="0" w:space="0" w:color="auto"/>
      </w:divBdr>
    </w:div>
    <w:div w:id="1321733004">
      <w:bodyDiv w:val="1"/>
      <w:marLeft w:val="0"/>
      <w:marRight w:val="0"/>
      <w:marTop w:val="0"/>
      <w:marBottom w:val="0"/>
      <w:divBdr>
        <w:top w:val="none" w:sz="0" w:space="0" w:color="auto"/>
        <w:left w:val="none" w:sz="0" w:space="0" w:color="auto"/>
        <w:bottom w:val="none" w:sz="0" w:space="0" w:color="auto"/>
        <w:right w:val="none" w:sz="0" w:space="0" w:color="auto"/>
      </w:divBdr>
    </w:div>
    <w:div w:id="1570769584">
      <w:bodyDiv w:val="1"/>
      <w:marLeft w:val="0"/>
      <w:marRight w:val="0"/>
      <w:marTop w:val="0"/>
      <w:marBottom w:val="0"/>
      <w:divBdr>
        <w:top w:val="none" w:sz="0" w:space="0" w:color="auto"/>
        <w:left w:val="none" w:sz="0" w:space="0" w:color="auto"/>
        <w:bottom w:val="none" w:sz="0" w:space="0" w:color="auto"/>
        <w:right w:val="none" w:sz="0" w:space="0" w:color="auto"/>
      </w:divBdr>
    </w:div>
    <w:div w:id="1609387646">
      <w:bodyDiv w:val="1"/>
      <w:marLeft w:val="0"/>
      <w:marRight w:val="0"/>
      <w:marTop w:val="0"/>
      <w:marBottom w:val="0"/>
      <w:divBdr>
        <w:top w:val="none" w:sz="0" w:space="0" w:color="auto"/>
        <w:left w:val="none" w:sz="0" w:space="0" w:color="auto"/>
        <w:bottom w:val="none" w:sz="0" w:space="0" w:color="auto"/>
        <w:right w:val="none" w:sz="0" w:space="0" w:color="auto"/>
      </w:divBdr>
    </w:div>
    <w:div w:id="1715738646">
      <w:bodyDiv w:val="1"/>
      <w:marLeft w:val="0"/>
      <w:marRight w:val="0"/>
      <w:marTop w:val="0"/>
      <w:marBottom w:val="0"/>
      <w:divBdr>
        <w:top w:val="none" w:sz="0" w:space="0" w:color="auto"/>
        <w:left w:val="none" w:sz="0" w:space="0" w:color="auto"/>
        <w:bottom w:val="none" w:sz="0" w:space="0" w:color="auto"/>
        <w:right w:val="none" w:sz="0" w:space="0" w:color="auto"/>
      </w:divBdr>
    </w:div>
    <w:div w:id="1875730069">
      <w:bodyDiv w:val="1"/>
      <w:marLeft w:val="0"/>
      <w:marRight w:val="0"/>
      <w:marTop w:val="0"/>
      <w:marBottom w:val="0"/>
      <w:divBdr>
        <w:top w:val="none" w:sz="0" w:space="0" w:color="auto"/>
        <w:left w:val="none" w:sz="0" w:space="0" w:color="auto"/>
        <w:bottom w:val="none" w:sz="0" w:space="0" w:color="auto"/>
        <w:right w:val="none" w:sz="0" w:space="0" w:color="auto"/>
      </w:divBdr>
    </w:div>
    <w:div w:id="1912503080">
      <w:bodyDiv w:val="1"/>
      <w:marLeft w:val="0"/>
      <w:marRight w:val="0"/>
      <w:marTop w:val="0"/>
      <w:marBottom w:val="0"/>
      <w:divBdr>
        <w:top w:val="none" w:sz="0" w:space="0" w:color="auto"/>
        <w:left w:val="none" w:sz="0" w:space="0" w:color="auto"/>
        <w:bottom w:val="none" w:sz="0" w:space="0" w:color="auto"/>
        <w:right w:val="none" w:sz="0" w:space="0" w:color="auto"/>
      </w:divBdr>
    </w:div>
    <w:div w:id="1921214384">
      <w:bodyDiv w:val="1"/>
      <w:marLeft w:val="0"/>
      <w:marRight w:val="0"/>
      <w:marTop w:val="0"/>
      <w:marBottom w:val="0"/>
      <w:divBdr>
        <w:top w:val="none" w:sz="0" w:space="0" w:color="auto"/>
        <w:left w:val="none" w:sz="0" w:space="0" w:color="auto"/>
        <w:bottom w:val="none" w:sz="0" w:space="0" w:color="auto"/>
        <w:right w:val="none" w:sz="0" w:space="0" w:color="auto"/>
      </w:divBdr>
    </w:div>
    <w:div w:id="1956862316">
      <w:bodyDiv w:val="1"/>
      <w:marLeft w:val="0"/>
      <w:marRight w:val="0"/>
      <w:marTop w:val="0"/>
      <w:marBottom w:val="0"/>
      <w:divBdr>
        <w:top w:val="none" w:sz="0" w:space="0" w:color="auto"/>
        <w:left w:val="none" w:sz="0" w:space="0" w:color="auto"/>
        <w:bottom w:val="none" w:sz="0" w:space="0" w:color="auto"/>
        <w:right w:val="none" w:sz="0" w:space="0" w:color="auto"/>
      </w:divBdr>
    </w:div>
    <w:div w:id="19592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KRAHASIMI I TË HYRAVE MES VITEVE 2024-2025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TË HYRAT E VITIT 2024</c:v>
                </c:pt>
                <c:pt idx="1">
                  <c:v>TË HYRAT E VITIT 2025</c:v>
                </c:pt>
              </c:strCache>
            </c:strRef>
          </c:cat>
          <c:val>
            <c:numRef>
              <c:f>Sheet1!$B$2:$B$5</c:f>
              <c:numCache>
                <c:formatCode>#,##0.00</c:formatCode>
                <c:ptCount val="4"/>
                <c:pt idx="0">
                  <c:v>1032097.24</c:v>
                </c:pt>
                <c:pt idx="1">
                  <c:v>1032540.06</c:v>
                </c:pt>
              </c:numCache>
            </c:numRef>
          </c:val>
          <c:extLst>
            <c:ext xmlns:c16="http://schemas.microsoft.com/office/drawing/2014/chart" uri="{C3380CC4-5D6E-409C-BE32-E72D297353CC}">
              <c16:uniqueId val="{00000000-D1F2-4A7F-8ECA-6BC99CC383BC}"/>
            </c:ext>
          </c:extLst>
        </c:ser>
        <c:dLbls>
          <c:showLegendKey val="0"/>
          <c:showVal val="1"/>
          <c:showCatName val="0"/>
          <c:showSerName val="0"/>
          <c:showPercent val="0"/>
          <c:showBubbleSize val="0"/>
        </c:dLbls>
        <c:gapWidth val="150"/>
        <c:shape val="box"/>
        <c:axId val="802845199"/>
        <c:axId val="802861007"/>
        <c:axId val="0"/>
      </c:bar3DChart>
      <c:catAx>
        <c:axId val="80284519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861007"/>
        <c:crosses val="autoZero"/>
        <c:auto val="1"/>
        <c:lblAlgn val="ctr"/>
        <c:lblOffset val="100"/>
        <c:noMultiLvlLbl val="0"/>
      </c:catAx>
      <c:valAx>
        <c:axId val="80286100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845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233EA-AD53-4B8A-A7C8-1655548D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Dafina Cacaj</cp:lastModifiedBy>
  <cp:revision>21</cp:revision>
  <cp:lastPrinted>2026-01-06T13:35:00Z</cp:lastPrinted>
  <dcterms:created xsi:type="dcterms:W3CDTF">2026-01-05T10:44:00Z</dcterms:created>
  <dcterms:modified xsi:type="dcterms:W3CDTF">2026-01-06T13:36:00Z</dcterms:modified>
</cp:coreProperties>
</file>