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63" w:rsidRPr="00003845" w:rsidRDefault="00186676" w:rsidP="00423C63">
      <w:pPr>
        <w:rPr>
          <w:b/>
        </w:rPr>
      </w:pPr>
      <w:r>
        <w:rPr>
          <w:noProof/>
          <w:lang w:val="en-US"/>
        </w:rPr>
        <w:drawing>
          <wp:inline distT="0" distB="0" distL="0" distR="0" wp14:anchorId="12431497" wp14:editId="3279B0D5">
            <wp:extent cx="5734050" cy="1150620"/>
            <wp:effectExtent l="0" t="0" r="0" b="0"/>
            <wp:docPr id="1" name="Picture 1" descr="C:\Users\Gani.Cacaj\Desktop\Logo-KDE\1 Baneri-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Gani.Cacaj\Desktop\Logo-KDE\1 Baneri-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C63" w:rsidRDefault="00F62149" w:rsidP="00423C63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Drejtoria për Inspekcion</w:t>
      </w:r>
    </w:p>
    <w:p w:rsidR="00F62149" w:rsidRDefault="0047623E" w:rsidP="00423C63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Nr. 10_____/2025</w:t>
      </w:r>
      <w:r w:rsidR="00F62149">
        <w:rPr>
          <w:rFonts w:asciiTheme="minorHAnsi" w:hAnsiTheme="minorHAnsi" w:cstheme="minorHAnsi"/>
          <w:b/>
        </w:rPr>
        <w:t xml:space="preserve"> </w:t>
      </w:r>
    </w:p>
    <w:p w:rsidR="00186676" w:rsidRPr="00F343C2" w:rsidRDefault="00186676" w:rsidP="00423C63">
      <w:pPr>
        <w:rPr>
          <w:rFonts w:asciiTheme="minorHAnsi" w:hAnsiTheme="minorHAnsi" w:cstheme="minorHAnsi"/>
          <w:b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785"/>
        <w:gridCol w:w="6840"/>
      </w:tblGrid>
      <w:tr w:rsidR="00186676" w:rsidRPr="00F343C2" w:rsidTr="004F0AAD">
        <w:trPr>
          <w:trHeight w:val="638"/>
        </w:trPr>
        <w:tc>
          <w:tcPr>
            <w:tcW w:w="2785" w:type="dxa"/>
          </w:tcPr>
          <w:p w:rsidR="00074FE3" w:rsidRDefault="00074FE3" w:rsidP="00423C63">
            <w:pPr>
              <w:rPr>
                <w:b/>
              </w:rPr>
            </w:pPr>
          </w:p>
          <w:p w:rsidR="00186676" w:rsidRPr="00074FE3" w:rsidRDefault="00186676" w:rsidP="00423C63">
            <w:pPr>
              <w:rPr>
                <w:b/>
              </w:rPr>
            </w:pPr>
            <w:r w:rsidRPr="00074FE3">
              <w:rPr>
                <w:b/>
              </w:rPr>
              <w:t>Datë/Data</w:t>
            </w:r>
          </w:p>
        </w:tc>
        <w:tc>
          <w:tcPr>
            <w:tcW w:w="6840" w:type="dxa"/>
          </w:tcPr>
          <w:p w:rsidR="00074FE3" w:rsidRDefault="00074FE3" w:rsidP="00423C63">
            <w:pPr>
              <w:rPr>
                <w:b/>
              </w:rPr>
            </w:pPr>
          </w:p>
          <w:p w:rsidR="00F62149" w:rsidRPr="00074FE3" w:rsidRDefault="004E3836" w:rsidP="00423C63">
            <w:pPr>
              <w:rPr>
                <w:b/>
              </w:rPr>
            </w:pPr>
            <w:r>
              <w:rPr>
                <w:b/>
              </w:rPr>
              <w:t>24.12</w:t>
            </w:r>
            <w:r w:rsidR="004F0AAD">
              <w:rPr>
                <w:b/>
              </w:rPr>
              <w:t>.2025</w:t>
            </w:r>
          </w:p>
        </w:tc>
      </w:tr>
      <w:tr w:rsidR="00186676" w:rsidRPr="00F343C2" w:rsidTr="004F0AAD">
        <w:trPr>
          <w:trHeight w:val="692"/>
        </w:trPr>
        <w:tc>
          <w:tcPr>
            <w:tcW w:w="2785" w:type="dxa"/>
          </w:tcPr>
          <w:p w:rsidR="00074FE3" w:rsidRPr="00D7716B" w:rsidRDefault="00074FE3" w:rsidP="00423C63">
            <w:pPr>
              <w:rPr>
                <w:b/>
              </w:rPr>
            </w:pPr>
          </w:p>
          <w:p w:rsidR="00186676" w:rsidRPr="00D7716B" w:rsidRDefault="00186676" w:rsidP="00423C63">
            <w:pPr>
              <w:rPr>
                <w:b/>
              </w:rPr>
            </w:pPr>
            <w:r w:rsidRPr="00D7716B">
              <w:rPr>
                <w:b/>
              </w:rPr>
              <w:t>Për/To/</w:t>
            </w:r>
            <w:proofErr w:type="spellStart"/>
            <w:r w:rsidRPr="00D7716B">
              <w:rPr>
                <w:b/>
              </w:rPr>
              <w:t>Za</w:t>
            </w:r>
            <w:proofErr w:type="spellEnd"/>
          </w:p>
        </w:tc>
        <w:tc>
          <w:tcPr>
            <w:tcW w:w="6840" w:type="dxa"/>
          </w:tcPr>
          <w:p w:rsidR="00D6376A" w:rsidRPr="00F62149" w:rsidRDefault="00D6376A" w:rsidP="00423C63"/>
          <w:p w:rsidR="00186676" w:rsidRPr="00F62149" w:rsidRDefault="00D6376A" w:rsidP="00423C63">
            <w:r>
              <w:t>Bashkim RAMOSAJ- kryetar i Komunës</w:t>
            </w:r>
          </w:p>
        </w:tc>
      </w:tr>
      <w:tr w:rsidR="00D6376A" w:rsidRPr="00F343C2" w:rsidTr="004F0AAD">
        <w:trPr>
          <w:trHeight w:val="692"/>
        </w:trPr>
        <w:tc>
          <w:tcPr>
            <w:tcW w:w="2785" w:type="dxa"/>
          </w:tcPr>
          <w:p w:rsidR="00D6376A" w:rsidRDefault="00D6376A" w:rsidP="00423C63">
            <w:pPr>
              <w:rPr>
                <w:b/>
              </w:rPr>
            </w:pPr>
          </w:p>
          <w:p w:rsidR="00D6376A" w:rsidRPr="00D7716B" w:rsidRDefault="00D6376A" w:rsidP="00423C63">
            <w:pPr>
              <w:rPr>
                <w:b/>
              </w:rPr>
            </w:pPr>
            <w:r>
              <w:rPr>
                <w:b/>
              </w:rPr>
              <w:t>Nga/</w:t>
            </w:r>
            <w:proofErr w:type="spellStart"/>
            <w:r>
              <w:rPr>
                <w:b/>
              </w:rPr>
              <w:t>from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Od</w:t>
            </w:r>
            <w:proofErr w:type="spellEnd"/>
          </w:p>
        </w:tc>
        <w:tc>
          <w:tcPr>
            <w:tcW w:w="6840" w:type="dxa"/>
          </w:tcPr>
          <w:p w:rsidR="008A22BC" w:rsidRPr="00F62149" w:rsidRDefault="00F81FED" w:rsidP="00D6376A">
            <w:r>
              <w:t>Ajne Iberhysaj- U.D Shefe Inspekcionit</w:t>
            </w:r>
            <w:r w:rsidR="00D6376A">
              <w:t xml:space="preserve"> </w:t>
            </w:r>
          </w:p>
        </w:tc>
      </w:tr>
      <w:tr w:rsidR="00186676" w:rsidRPr="00F343C2" w:rsidTr="004F0AAD">
        <w:trPr>
          <w:trHeight w:val="440"/>
        </w:trPr>
        <w:tc>
          <w:tcPr>
            <w:tcW w:w="2785" w:type="dxa"/>
          </w:tcPr>
          <w:p w:rsidR="00074FE3" w:rsidRPr="00D7716B" w:rsidRDefault="00074FE3" w:rsidP="00423C63">
            <w:pPr>
              <w:rPr>
                <w:b/>
              </w:rPr>
            </w:pPr>
          </w:p>
          <w:p w:rsidR="00186676" w:rsidRPr="00D7716B" w:rsidRDefault="00186676" w:rsidP="00423C63">
            <w:pPr>
              <w:rPr>
                <w:b/>
              </w:rPr>
            </w:pPr>
            <w:r w:rsidRPr="00D7716B">
              <w:rPr>
                <w:b/>
              </w:rPr>
              <w:t>Tema/</w:t>
            </w:r>
            <w:proofErr w:type="spellStart"/>
            <w:r w:rsidRPr="00D7716B">
              <w:rPr>
                <w:b/>
              </w:rPr>
              <w:t>Subject</w:t>
            </w:r>
            <w:proofErr w:type="spellEnd"/>
            <w:r w:rsidRPr="00D7716B">
              <w:rPr>
                <w:b/>
              </w:rPr>
              <w:t>/</w:t>
            </w:r>
            <w:proofErr w:type="spellStart"/>
            <w:r w:rsidRPr="00D7716B">
              <w:rPr>
                <w:b/>
              </w:rPr>
              <w:t>Subjekat</w:t>
            </w:r>
            <w:proofErr w:type="spellEnd"/>
          </w:p>
        </w:tc>
        <w:tc>
          <w:tcPr>
            <w:tcW w:w="6840" w:type="dxa"/>
          </w:tcPr>
          <w:p w:rsidR="00074FE3" w:rsidRDefault="00074FE3" w:rsidP="00F30816"/>
          <w:p w:rsidR="00074FE3" w:rsidRPr="00604236" w:rsidRDefault="00F30816" w:rsidP="00F30816">
            <w:pPr>
              <w:rPr>
                <w:b/>
                <w:sz w:val="22"/>
                <w:szCs w:val="22"/>
              </w:rPr>
            </w:pPr>
            <w:r w:rsidRPr="00604236">
              <w:rPr>
                <w:b/>
                <w:sz w:val="22"/>
                <w:szCs w:val="22"/>
              </w:rPr>
              <w:t>RAPORT I P</w:t>
            </w:r>
            <w:r w:rsidR="004E3836" w:rsidRPr="00604236">
              <w:rPr>
                <w:b/>
                <w:sz w:val="22"/>
                <w:szCs w:val="22"/>
              </w:rPr>
              <w:t>UNËS PËR PERIUDHEN JANAR-DHJETOR</w:t>
            </w:r>
            <w:r w:rsidR="004F0AAD" w:rsidRPr="00604236">
              <w:rPr>
                <w:b/>
                <w:sz w:val="22"/>
                <w:szCs w:val="22"/>
              </w:rPr>
              <w:t xml:space="preserve"> 2025</w:t>
            </w:r>
          </w:p>
        </w:tc>
      </w:tr>
    </w:tbl>
    <w:p w:rsidR="00A15949" w:rsidRDefault="00A15949" w:rsidP="00A15949">
      <w:pPr>
        <w:pStyle w:val="Default"/>
      </w:pPr>
    </w:p>
    <w:p w:rsidR="00F30816" w:rsidRPr="005A1F54" w:rsidRDefault="00F30816" w:rsidP="00F62149">
      <w:pPr>
        <w:jc w:val="both"/>
      </w:pPr>
      <w:r w:rsidRPr="005A1F54">
        <w:t>Drejtoria</w:t>
      </w:r>
      <w:r w:rsidR="00A15949" w:rsidRPr="005A1F54">
        <w:t xml:space="preserve"> për Inspekcione gjate </w:t>
      </w:r>
      <w:r w:rsidR="004E3836">
        <w:t xml:space="preserve">periudhës janar –dhjetor të </w:t>
      </w:r>
      <w:r w:rsidR="004F0AAD">
        <w:t>vitit kalendarik 2025</w:t>
      </w:r>
      <w:r w:rsidR="00A15949" w:rsidRPr="005A1F54">
        <w:t xml:space="preserve"> kanë kryer </w:t>
      </w:r>
      <w:bookmarkStart w:id="0" w:name="_GoBack"/>
      <w:bookmarkEnd w:id="0"/>
      <w:r w:rsidR="00A15949" w:rsidRPr="005A1F54">
        <w:t xml:space="preserve">punët dhe detyrat e punës </w:t>
      </w:r>
      <w:r w:rsidR="004E3836">
        <w:t>sipas përgjegjësive zyrtare të pozitave inspektuese duke u bazuar në  l</w:t>
      </w:r>
      <w:r w:rsidRPr="005A1F54">
        <w:t xml:space="preserve">igjet, aktet nënligjorë, </w:t>
      </w:r>
      <w:r w:rsidR="00A15949" w:rsidRPr="005A1F54">
        <w:t>rregulloreve komunale me të cilat rregullohet puna e inspektorëve sipas fushave përkatëse, duke ju përmbajtur Planit të pun</w:t>
      </w:r>
      <w:r w:rsidR="00F502A4">
        <w:t>ës së Drejtoratit për vitin 2025</w:t>
      </w:r>
      <w:r w:rsidRPr="005A1F54">
        <w:t>.</w:t>
      </w:r>
      <w:r w:rsidR="00F502A4">
        <w:t xml:space="preserve">  </w:t>
      </w:r>
      <w:r w:rsidRPr="005A1F54">
        <w:t>Në Kuadër të drejtorisë për Inspe</w:t>
      </w:r>
      <w:r w:rsidR="004E3836">
        <w:t>kcion janë sistemuar këta inspektorë</w:t>
      </w:r>
      <w:r w:rsidRPr="005A1F54">
        <w:t xml:space="preserve">: </w:t>
      </w:r>
    </w:p>
    <w:p w:rsidR="00F30816" w:rsidRPr="005A1F54" w:rsidRDefault="00F30816" w:rsidP="00F62149">
      <w:pPr>
        <w:jc w:val="both"/>
      </w:pPr>
    </w:p>
    <w:p w:rsidR="00F30816" w:rsidRPr="005A1F54" w:rsidRDefault="004F0AAD" w:rsidP="00F62149">
      <w:pPr>
        <w:jc w:val="both"/>
      </w:pPr>
      <w:r>
        <w:t>Inspektorja e</w:t>
      </w:r>
      <w:r w:rsidR="00F30816" w:rsidRPr="005A1F54">
        <w:t xml:space="preserve"> Tregut, </w:t>
      </w:r>
    </w:p>
    <w:p w:rsidR="00F30816" w:rsidRPr="005A1F54" w:rsidRDefault="00F30816" w:rsidP="00F62149">
      <w:pPr>
        <w:jc w:val="both"/>
      </w:pPr>
      <w:r w:rsidRPr="005A1F54">
        <w:t>Inspektori i Mbrojtjes së Mjedisit që njëkohësisht është edhe shefe e inspektorëve</w:t>
      </w:r>
    </w:p>
    <w:p w:rsidR="00F30816" w:rsidRPr="005A1F54" w:rsidRDefault="00F30816" w:rsidP="00F62149">
      <w:pPr>
        <w:jc w:val="both"/>
      </w:pPr>
      <w:r w:rsidRPr="005A1F54">
        <w:t>Inspektori i Ndërtimit (me Kontratë mbi shërbimet e Veçanta),</w:t>
      </w:r>
    </w:p>
    <w:p w:rsidR="00CB08A4" w:rsidRDefault="00F30816" w:rsidP="00F62149">
      <w:pPr>
        <w:jc w:val="both"/>
      </w:pPr>
      <w:r w:rsidRPr="005A1F54">
        <w:t xml:space="preserve">Inspektori i Veterinës (i angazhuar me kontratë mbi shërbimet e veçanta) dhe </w:t>
      </w:r>
    </w:p>
    <w:p w:rsidR="00A15949" w:rsidRPr="005A1F54" w:rsidRDefault="00A15949" w:rsidP="00F62149">
      <w:pPr>
        <w:jc w:val="both"/>
        <w:rPr>
          <w:b/>
        </w:rPr>
      </w:pPr>
    </w:p>
    <w:p w:rsidR="00E702C3" w:rsidRPr="005A1F54" w:rsidRDefault="00F30816" w:rsidP="00F62149">
      <w:pPr>
        <w:jc w:val="both"/>
      </w:pPr>
      <w:r w:rsidRPr="005A1F54">
        <w:t>Inspekt</w:t>
      </w:r>
      <w:r w:rsidR="004E3836">
        <w:t>orët e lartë përmendur</w:t>
      </w:r>
      <w:r w:rsidR="00EF3778">
        <w:t xml:space="preserve"> sipas fushave inspektuese</w:t>
      </w:r>
      <w:r w:rsidRPr="005A1F54">
        <w:t xml:space="preserve">  të tyre kanë vepruar duke kryer inspektime</w:t>
      </w:r>
      <w:r w:rsidR="004F0AAD">
        <w:t xml:space="preserve"> </w:t>
      </w:r>
      <w:r w:rsidR="00E702C3" w:rsidRPr="005A1F54">
        <w:t>(kontrolle mbikëqyrjeje)</w:t>
      </w:r>
      <w:r w:rsidR="00A15949" w:rsidRPr="005A1F54">
        <w:t xml:space="preserve"> ndaj veprimtarive tregtare, ekonomike,</w:t>
      </w:r>
      <w:r w:rsidR="00CB08A4">
        <w:t xml:space="preserve"> ndërtimit, </w:t>
      </w:r>
      <w:r w:rsidR="00A15949" w:rsidRPr="005A1F54">
        <w:t xml:space="preserve"> </w:t>
      </w:r>
      <w:r w:rsidR="00E702C3" w:rsidRPr="005A1F54">
        <w:t xml:space="preserve">në fushën e mjedisit, </w:t>
      </w:r>
      <w:r w:rsidR="004E3836">
        <w:t xml:space="preserve">prodhimet </w:t>
      </w:r>
      <w:r w:rsidR="00E702C3" w:rsidRPr="005A1F54">
        <w:t xml:space="preserve">bujqësore </w:t>
      </w:r>
      <w:r w:rsidR="004E3836">
        <w:t xml:space="preserve">(shtazore) </w:t>
      </w:r>
      <w:r w:rsidR="00E702C3" w:rsidRPr="005A1F54">
        <w:t>si nga produktet qumështit dhe me prejardhje</w:t>
      </w:r>
      <w:r w:rsidR="00CB08A4">
        <w:t>n e tyre. Në ruajt</w:t>
      </w:r>
      <w:r w:rsidR="00EF3778">
        <w:t xml:space="preserve">jen </w:t>
      </w:r>
      <w:r w:rsidR="00CB08A4">
        <w:t xml:space="preserve">dhe mbrojtjen e </w:t>
      </w:r>
      <w:r w:rsidR="00A15949" w:rsidRPr="005A1F54">
        <w:t xml:space="preserve"> shëndetit publik, </w:t>
      </w:r>
      <w:r w:rsidR="00CB08A4">
        <w:t>në ushtrimin e</w:t>
      </w:r>
      <w:r w:rsidR="00A15949" w:rsidRPr="005A1F54">
        <w:t xml:space="preserve"> veprimtarive </w:t>
      </w:r>
      <w:r w:rsidR="00CB08A4">
        <w:t xml:space="preserve"> sipas inspe</w:t>
      </w:r>
      <w:r w:rsidR="00EF3778">
        <w:t>ktorë</w:t>
      </w:r>
      <w:r w:rsidR="00CB08A4">
        <w:t xml:space="preserve">ve në pajtim me kërkesat </w:t>
      </w:r>
      <w:r w:rsidR="00A15949" w:rsidRPr="005A1F54">
        <w:t>në</w:t>
      </w:r>
      <w:r w:rsidR="00CB08A4">
        <w:t xml:space="preserve"> pajtueshmëri me </w:t>
      </w:r>
      <w:r w:rsidR="00A15949" w:rsidRPr="005A1F54">
        <w:t xml:space="preserve">legjislacionin e Republikës së Kosovës; </w:t>
      </w:r>
    </w:p>
    <w:p w:rsidR="00E702C3" w:rsidRPr="005A1F54" w:rsidRDefault="00E702C3" w:rsidP="00F62149">
      <w:pPr>
        <w:jc w:val="both"/>
      </w:pPr>
    </w:p>
    <w:p w:rsidR="00A15949" w:rsidRPr="005A1F54" w:rsidRDefault="00E702C3" w:rsidP="00F62149">
      <w:pPr>
        <w:jc w:val="both"/>
      </w:pPr>
      <w:r w:rsidRPr="005A1F54">
        <w:t>Drejtoria e Inspekcionit ka kryer in</w:t>
      </w:r>
      <w:r w:rsidR="00A15949" w:rsidRPr="005A1F54">
        <w:t>spektim</w:t>
      </w:r>
      <w:r w:rsidRPr="005A1F54">
        <w:t>e të përbashkët me</w:t>
      </w:r>
      <w:r w:rsidR="00F62149">
        <w:t>: Stacionin e Policisë,</w:t>
      </w:r>
      <w:r w:rsidRPr="005A1F54">
        <w:t xml:space="preserve"> Komisionin për Miniera dhe Minerale,  me Inspektoratin e Ministrisë së Mjedisit, Planifikimi</w:t>
      </w:r>
      <w:r w:rsidR="004F0AAD">
        <w:t xml:space="preserve">t Hapësinor dhe Infrastrukturës, </w:t>
      </w:r>
      <w:r w:rsidRPr="005A1F54">
        <w:t>koordinim  dhe bashkëpunim me drejtoritë e komunës</w:t>
      </w:r>
      <w:r w:rsidR="00A15949" w:rsidRPr="005A1F54">
        <w:t xml:space="preserve"> </w:t>
      </w:r>
      <w:r w:rsidRPr="005A1F54">
        <w:t xml:space="preserve">ku këto inspektime </w:t>
      </w:r>
      <w:r w:rsidR="00A15949" w:rsidRPr="005A1F54">
        <w:t>kanë</w:t>
      </w:r>
      <w:r w:rsidRPr="005A1F54">
        <w:t xml:space="preserve"> pasur </w:t>
      </w:r>
      <w:r w:rsidR="00A15949" w:rsidRPr="005A1F54">
        <w:t xml:space="preserve"> për qëllim koordinimin e veprimeve inspektuese </w:t>
      </w:r>
      <w:r w:rsidR="00CB08A4">
        <w:t xml:space="preserve">të përbashkëta. </w:t>
      </w:r>
    </w:p>
    <w:p w:rsidR="00E702C3" w:rsidRPr="005A1F54" w:rsidRDefault="00E702C3" w:rsidP="00F62149">
      <w:pPr>
        <w:jc w:val="both"/>
      </w:pPr>
    </w:p>
    <w:p w:rsidR="005A1F54" w:rsidRPr="005A1F54" w:rsidRDefault="00E702C3" w:rsidP="00F62149">
      <w:pPr>
        <w:jc w:val="both"/>
      </w:pPr>
      <w:r w:rsidRPr="005A1F54">
        <w:t xml:space="preserve">Gjithashtu </w:t>
      </w:r>
      <w:r w:rsidR="005A1F54" w:rsidRPr="005A1F54">
        <w:t xml:space="preserve">inspektimet e </w:t>
      </w:r>
      <w:r w:rsidR="00A15949" w:rsidRPr="005A1F54">
        <w:t xml:space="preserve"> planifikuar</w:t>
      </w:r>
      <w:r w:rsidR="005A1F54" w:rsidRPr="005A1F54">
        <w:t>a</w:t>
      </w:r>
      <w:r w:rsidR="00A15949" w:rsidRPr="005A1F54">
        <w:t xml:space="preserve"> – </w:t>
      </w:r>
      <w:r w:rsidR="005A1F54" w:rsidRPr="005A1F54">
        <w:t xml:space="preserve">janë inspektimet </w:t>
      </w:r>
      <w:r w:rsidR="00A15949" w:rsidRPr="005A1F54">
        <w:t xml:space="preserve"> të </w:t>
      </w:r>
      <w:r w:rsidR="005A1F54" w:rsidRPr="005A1F54">
        <w:t>realizuara</w:t>
      </w:r>
      <w:r w:rsidR="00A15949" w:rsidRPr="005A1F54">
        <w:t xml:space="preserve"> sipas planit të punës dhe planit të monitorimit;</w:t>
      </w:r>
      <w:r w:rsidR="005A1F54" w:rsidRPr="005A1F54">
        <w:t xml:space="preserve"> Inspektimi i paplanifikuar ka përfshirë edh</w:t>
      </w:r>
      <w:r w:rsidR="008B6B12">
        <w:t>e</w:t>
      </w:r>
      <w:r w:rsidR="00A15949" w:rsidRPr="005A1F54">
        <w:t xml:space="preserve"> procesi</w:t>
      </w:r>
      <w:r w:rsidR="005A1F54" w:rsidRPr="005A1F54">
        <w:t>n e  inspektimeve</w:t>
      </w:r>
      <w:r w:rsidR="00A15949" w:rsidRPr="005A1F54">
        <w:t xml:space="preserve"> i cili paraqitet </w:t>
      </w:r>
      <w:proofErr w:type="spellStart"/>
      <w:r w:rsidR="00A15949" w:rsidRPr="005A1F54">
        <w:t>ad-hoc</w:t>
      </w:r>
      <w:proofErr w:type="spellEnd"/>
      <w:r w:rsidR="00A15949" w:rsidRPr="005A1F54">
        <w:t xml:space="preserve"> dhe sipas nevojës</w:t>
      </w:r>
      <w:r w:rsidR="005A1F54" w:rsidRPr="005A1F54">
        <w:t xml:space="preserve"> pozitës zyrtare profesionale të inspektorit</w:t>
      </w:r>
      <w:r w:rsidR="00A15949" w:rsidRPr="005A1F54">
        <w:t xml:space="preserve">; </w:t>
      </w:r>
      <w:r w:rsidR="00CB08A4">
        <w:t>po duke u bazuar edhe në kërkesat e parashtruar</w:t>
      </w:r>
      <w:r w:rsidR="004F0AAD">
        <w:t>a</w:t>
      </w:r>
      <w:r w:rsidR="00CB08A4">
        <w:t>. Gjithashtu, j</w:t>
      </w:r>
      <w:r w:rsidR="005A1F54" w:rsidRPr="005A1F54">
        <w:t>anë krye</w:t>
      </w:r>
      <w:r w:rsidR="004F0AAD">
        <w:t>r edhe inspektime</w:t>
      </w:r>
      <w:r w:rsidR="005A1F54" w:rsidRPr="005A1F54">
        <w:t xml:space="preserve"> sipas kërkesave të </w:t>
      </w:r>
      <w:r w:rsidR="005A1F54" w:rsidRPr="005A1F54">
        <w:lastRenderedPageBreak/>
        <w:t>personave fizik</w:t>
      </w:r>
      <w:r w:rsidR="004F0AAD">
        <w:t>ë</w:t>
      </w:r>
      <w:r w:rsidR="005A1F54" w:rsidRPr="005A1F54">
        <w:t xml:space="preserve"> dhe juridik</w:t>
      </w:r>
      <w:r w:rsidR="004F0AAD">
        <w:t>ë</w:t>
      </w:r>
      <w:r w:rsidR="00F502A4">
        <w:t xml:space="preserve"> </w:t>
      </w:r>
      <w:r w:rsidR="005A1F54" w:rsidRPr="005A1F54">
        <w:t xml:space="preserve"> janë  inspektime të </w:t>
      </w:r>
      <w:r w:rsidR="00A15949" w:rsidRPr="005A1F54">
        <w:t xml:space="preserve"> realizuar</w:t>
      </w:r>
      <w:r w:rsidR="005A1F54" w:rsidRPr="005A1F54">
        <w:t>a</w:t>
      </w:r>
      <w:r w:rsidR="00A15949" w:rsidRPr="005A1F54">
        <w:t xml:space="preserve"> në ba</w:t>
      </w:r>
      <w:r w:rsidR="005A1F54" w:rsidRPr="005A1F54">
        <w:t>zë të paraqitjes së  kërkesave</w:t>
      </w:r>
      <w:r w:rsidR="004F0AAD">
        <w:t xml:space="preserve"> në I</w:t>
      </w:r>
      <w:r w:rsidR="00CB08A4">
        <w:t>ntranet</w:t>
      </w:r>
      <w:r w:rsidR="00A15949" w:rsidRPr="005A1F54">
        <w:t xml:space="preserve">; </w:t>
      </w:r>
    </w:p>
    <w:p w:rsidR="005A1F54" w:rsidRPr="005A1F54" w:rsidRDefault="005A1F54" w:rsidP="00F62149">
      <w:pPr>
        <w:jc w:val="both"/>
      </w:pPr>
    </w:p>
    <w:p w:rsidR="00A15949" w:rsidRDefault="00F502A4" w:rsidP="00F62149">
      <w:pPr>
        <w:jc w:val="both"/>
      </w:pPr>
      <w:r>
        <w:t xml:space="preserve">Ri-inspektimi </w:t>
      </w:r>
      <w:r w:rsidR="00A15949" w:rsidRPr="005A1F54">
        <w:t xml:space="preserve"> është inspektimi përcjellës që kryhet gjatë dhe pas kalimit të afatit të caktuar nga inspektori lidhur me përmbushjen e urdhrit apo kërkesave për eliminimin e parregullsive të konstatuara gjatë inspektimit;</w:t>
      </w:r>
    </w:p>
    <w:p w:rsidR="005A1F54" w:rsidRPr="005A1F54" w:rsidRDefault="005A1F54" w:rsidP="00F62149">
      <w:pPr>
        <w:jc w:val="both"/>
      </w:pPr>
    </w:p>
    <w:p w:rsidR="00A15949" w:rsidRDefault="005A1F54" w:rsidP="00F62149">
      <w:pPr>
        <w:jc w:val="both"/>
      </w:pPr>
      <w:r w:rsidRPr="005A1F54">
        <w:t xml:space="preserve">Këshilla inspektuese </w:t>
      </w:r>
      <w:r w:rsidR="00A15949" w:rsidRPr="005A1F54">
        <w:t>të subjektit të inspektuar për zbatimin sa më ko</w:t>
      </w:r>
      <w:r w:rsidRPr="005A1F54">
        <w:t xml:space="preserve">rrekt të legjislacionit në fuqi </w:t>
      </w:r>
      <w:r w:rsidR="00A15949" w:rsidRPr="005A1F54">
        <w:t>dhe eliminimit të</w:t>
      </w:r>
      <w:r w:rsidR="004E3836">
        <w:t xml:space="preserve"> </w:t>
      </w:r>
      <w:proofErr w:type="spellStart"/>
      <w:r w:rsidR="004E3836">
        <w:t>të</w:t>
      </w:r>
      <w:proofErr w:type="spellEnd"/>
      <w:r w:rsidR="00A15949" w:rsidRPr="005A1F54">
        <w:t xml:space="preserve"> </w:t>
      </w:r>
      <w:r w:rsidRPr="005A1F54">
        <w:t>gjeturave subjekti inspektues  si dhe marrjen e</w:t>
      </w:r>
      <w:r w:rsidR="00A15949" w:rsidRPr="005A1F54">
        <w:t xml:space="preserve"> masave administrative dhe shqiptimit të gjobave që kanë për qëllim shmangien e rreziqeve që mu</w:t>
      </w:r>
      <w:r w:rsidR="004E3836">
        <w:t>nd të rrezikohet</w:t>
      </w:r>
      <w:r w:rsidR="00A15949" w:rsidRPr="005A1F54">
        <w:t xml:space="preserve"> shënde</w:t>
      </w:r>
      <w:r w:rsidR="00EF3778">
        <w:t xml:space="preserve">tit publik, </w:t>
      </w:r>
      <w:r w:rsidR="004E3836">
        <w:t xml:space="preserve">mjedisi </w:t>
      </w:r>
      <w:r w:rsidR="00A15949" w:rsidRPr="005A1F54">
        <w:t xml:space="preserve">dhe interesave të ligjshme të personave fizikë dhe </w:t>
      </w:r>
      <w:r w:rsidRPr="005A1F54">
        <w:t xml:space="preserve">juridikë, të përcaktuara nga </w:t>
      </w:r>
      <w:r w:rsidR="00A15949" w:rsidRPr="005A1F54">
        <w:t>ligj</w:t>
      </w:r>
      <w:r w:rsidRPr="005A1F54">
        <w:t xml:space="preserve">et </w:t>
      </w:r>
      <w:r w:rsidR="004E3836">
        <w:t xml:space="preserve"> dhe </w:t>
      </w:r>
      <w:r w:rsidR="00A15949" w:rsidRPr="005A1F54">
        <w:t>me ligje të veçanta.</w:t>
      </w:r>
    </w:p>
    <w:p w:rsidR="00CB08A4" w:rsidRDefault="00CB08A4" w:rsidP="00F62149">
      <w:pPr>
        <w:jc w:val="both"/>
      </w:pPr>
    </w:p>
    <w:p w:rsidR="00CB08A4" w:rsidRPr="005A1F54" w:rsidRDefault="00CB08A4" w:rsidP="00F62149">
      <w:pPr>
        <w:jc w:val="both"/>
      </w:pPr>
      <w:r>
        <w:t>Janë marr</w:t>
      </w:r>
      <w:r w:rsidR="00EF3778">
        <w:t>ë</w:t>
      </w:r>
      <w:r>
        <w:t xml:space="preserve"> veprime për shkeljet serioze duke i veçuar ndërtimet në kundërshtim me ligjet ne fuqi dhe kushtet urbanistike të lëshuara nga Drejtoria për Urbanizë</w:t>
      </w:r>
      <w:r w:rsidR="00EF3778">
        <w:t xml:space="preserve">m, Planifikim Hapësinor dhe Mbrojtje të Mjedisit, </w:t>
      </w:r>
      <w:r>
        <w:t>po ashtu edhe mbi ndërtime pa</w:t>
      </w:r>
      <w:r w:rsidR="00EF3778">
        <w:t xml:space="preserve"> leje të ndërtimit duke </w:t>
      </w:r>
      <w:proofErr w:type="spellStart"/>
      <w:r w:rsidR="00EF3778">
        <w:t>inicuar</w:t>
      </w:r>
      <w:proofErr w:type="spellEnd"/>
      <w:r>
        <w:t xml:space="preserve"> edhe ngritjen e </w:t>
      </w:r>
      <w:r w:rsidR="000C4717">
        <w:t>kallëzimeve</w:t>
      </w:r>
      <w:r>
        <w:t xml:space="preserve"> penal</w:t>
      </w:r>
      <w:r w:rsidR="00BA6867">
        <w:t>e</w:t>
      </w:r>
      <w:r>
        <w:t>.</w:t>
      </w:r>
    </w:p>
    <w:p w:rsidR="005A1F54" w:rsidRPr="005A1F54" w:rsidRDefault="005A1F54" w:rsidP="00F62149">
      <w:pPr>
        <w:jc w:val="both"/>
      </w:pPr>
    </w:p>
    <w:p w:rsidR="006C7CCC" w:rsidRDefault="005A1F54" w:rsidP="000A531E">
      <w:pPr>
        <w:jc w:val="both"/>
        <w:rPr>
          <w:rFonts w:asciiTheme="minorHAnsi" w:hAnsiTheme="minorHAnsi" w:cstheme="minorHAnsi"/>
          <w:b/>
          <w:u w:val="single"/>
        </w:rPr>
      </w:pPr>
      <w:r w:rsidRPr="005A1F54">
        <w:t>Në kuadër të drejtorisë janë marr</w:t>
      </w:r>
      <w:r w:rsidR="00EF3778">
        <w:t>ë</w:t>
      </w:r>
      <w:r w:rsidRPr="005A1F54">
        <w:t xml:space="preserve"> masa administrative për lëshimin e fletëpagesave, taksave administrative, gjobave mandatorë përmes sistemit të Intranetit varësisht prej Ligjeve, Udhëzimeve Administrative dhe Rregullores Komunale në secilën fushë përkatëse të inspektimit.</w:t>
      </w:r>
      <w:r w:rsidR="00F62149">
        <w:t xml:space="preserve"> Duhet të theksohet edhe se janë </w:t>
      </w:r>
      <w:r w:rsidR="00F62149" w:rsidRPr="00F62149">
        <w:t>kryer edhe punë tjera sipas fushe veprimta</w:t>
      </w:r>
      <w:r w:rsidR="00CB08A4">
        <w:t xml:space="preserve">risë të secilit nga inspektorët. </w:t>
      </w:r>
      <w:r w:rsidR="00F62149" w:rsidRPr="00F62149">
        <w:t>Në tabelën në vijim po e prezantojmë aktivitetin e inspektorëve:</w:t>
      </w:r>
      <w:r w:rsidR="00725187">
        <w:t xml:space="preserve"> </w:t>
      </w:r>
      <w:r w:rsidR="006C7CCC" w:rsidRPr="00725187">
        <w:rPr>
          <w:rFonts w:asciiTheme="minorHAnsi" w:hAnsiTheme="minorHAnsi" w:cstheme="minorHAnsi"/>
          <w:b/>
          <w:u w:val="single"/>
        </w:rPr>
        <w:t>Tabela 1</w:t>
      </w:r>
    </w:p>
    <w:p w:rsidR="00C55095" w:rsidRPr="000A531E" w:rsidRDefault="00C55095" w:rsidP="000A531E">
      <w:pPr>
        <w:jc w:val="both"/>
      </w:pPr>
    </w:p>
    <w:tbl>
      <w:tblPr>
        <w:tblStyle w:val="TableGrid"/>
        <w:tblW w:w="98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50"/>
        <w:gridCol w:w="1080"/>
        <w:gridCol w:w="1260"/>
        <w:gridCol w:w="1620"/>
        <w:gridCol w:w="1194"/>
        <w:gridCol w:w="1172"/>
        <w:gridCol w:w="1172"/>
        <w:gridCol w:w="962"/>
      </w:tblGrid>
      <w:tr w:rsidR="00C43375" w:rsidTr="000A531E">
        <w:trPr>
          <w:trHeight w:val="1682"/>
        </w:trPr>
        <w:tc>
          <w:tcPr>
            <w:tcW w:w="1350" w:type="dxa"/>
            <w:shd w:val="clear" w:color="auto" w:fill="E2EFD9" w:themeFill="accent6" w:themeFillTint="33"/>
          </w:tcPr>
          <w:p w:rsidR="00C43375" w:rsidRPr="000E53C9" w:rsidRDefault="00C43375" w:rsidP="00C43375">
            <w:pPr>
              <w:rPr>
                <w:b/>
                <w:sz w:val="20"/>
                <w:szCs w:val="20"/>
              </w:rPr>
            </w:pPr>
          </w:p>
          <w:p w:rsidR="00C55095" w:rsidRDefault="00C55095" w:rsidP="00C43375">
            <w:pPr>
              <w:rPr>
                <w:b/>
                <w:sz w:val="20"/>
                <w:szCs w:val="20"/>
              </w:rPr>
            </w:pPr>
          </w:p>
          <w:p w:rsidR="00110721" w:rsidRDefault="00110721" w:rsidP="00C43375">
            <w:pPr>
              <w:rPr>
                <w:b/>
                <w:sz w:val="20"/>
                <w:szCs w:val="20"/>
              </w:rPr>
            </w:pPr>
          </w:p>
          <w:p w:rsidR="00C43375" w:rsidRPr="000E53C9" w:rsidRDefault="00C43375" w:rsidP="00C43375">
            <w:pPr>
              <w:rPr>
                <w:b/>
                <w:sz w:val="20"/>
                <w:szCs w:val="20"/>
              </w:rPr>
            </w:pPr>
            <w:r w:rsidRPr="000E53C9">
              <w:rPr>
                <w:b/>
                <w:sz w:val="20"/>
                <w:szCs w:val="20"/>
              </w:rPr>
              <w:t>Pozita zyrtare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:rsidR="00C43375" w:rsidRPr="00725187" w:rsidRDefault="00C43375" w:rsidP="00C43375">
            <w:pPr>
              <w:rPr>
                <w:b/>
                <w:sz w:val="20"/>
                <w:szCs w:val="20"/>
              </w:rPr>
            </w:pPr>
          </w:p>
          <w:p w:rsidR="00C43375" w:rsidRPr="00725187" w:rsidRDefault="00C43375" w:rsidP="00C43375">
            <w:pPr>
              <w:pStyle w:val="Default"/>
              <w:rPr>
                <w:sz w:val="20"/>
                <w:szCs w:val="20"/>
                <w:lang w:val="sq-AL"/>
              </w:rPr>
            </w:pPr>
            <w:r w:rsidRPr="00725187">
              <w:rPr>
                <w:b/>
                <w:bCs/>
                <w:sz w:val="20"/>
                <w:szCs w:val="20"/>
                <w:lang w:val="sq-AL"/>
              </w:rPr>
              <w:t xml:space="preserve">Inspektime në teren sipas detyrës zyrtare </w:t>
            </w:r>
          </w:p>
          <w:p w:rsidR="00C43375" w:rsidRPr="00725187" w:rsidRDefault="00C43375" w:rsidP="00C43375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:rsidR="00C43375" w:rsidRPr="00725187" w:rsidRDefault="00C43375" w:rsidP="00C43375">
            <w:pPr>
              <w:pStyle w:val="Default"/>
              <w:rPr>
                <w:b/>
                <w:bCs/>
                <w:sz w:val="20"/>
                <w:szCs w:val="20"/>
                <w:lang w:val="sq-AL"/>
              </w:rPr>
            </w:pPr>
          </w:p>
          <w:p w:rsidR="00C43375" w:rsidRPr="00725187" w:rsidRDefault="00C43375" w:rsidP="00C43375">
            <w:pPr>
              <w:pStyle w:val="Default"/>
              <w:rPr>
                <w:sz w:val="20"/>
                <w:szCs w:val="20"/>
                <w:lang w:val="sq-AL"/>
              </w:rPr>
            </w:pPr>
            <w:r w:rsidRPr="00725187">
              <w:rPr>
                <w:b/>
                <w:bCs/>
                <w:sz w:val="20"/>
                <w:szCs w:val="20"/>
                <w:lang w:val="sq-AL"/>
              </w:rPr>
              <w:t xml:space="preserve">Inspektime sipas kërkesë-  personave fizik dhe juridik </w:t>
            </w:r>
          </w:p>
          <w:p w:rsidR="00C43375" w:rsidRPr="00725187" w:rsidRDefault="00C43375" w:rsidP="00C43375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E2EFD9" w:themeFill="accent6" w:themeFillTint="33"/>
          </w:tcPr>
          <w:p w:rsidR="00C43375" w:rsidRDefault="00C43375" w:rsidP="00C43375">
            <w:pPr>
              <w:rPr>
                <w:b/>
                <w:sz w:val="20"/>
                <w:szCs w:val="20"/>
              </w:rPr>
            </w:pPr>
          </w:p>
          <w:p w:rsidR="00C43375" w:rsidRDefault="00C43375" w:rsidP="00C43375">
            <w:pPr>
              <w:rPr>
                <w:b/>
                <w:sz w:val="20"/>
                <w:szCs w:val="20"/>
              </w:rPr>
            </w:pPr>
          </w:p>
          <w:p w:rsidR="00C43375" w:rsidRPr="00725187" w:rsidRDefault="00C43375" w:rsidP="00C43375">
            <w:pPr>
              <w:rPr>
                <w:b/>
                <w:sz w:val="20"/>
                <w:szCs w:val="20"/>
              </w:rPr>
            </w:pPr>
            <w:r w:rsidRPr="00725187">
              <w:rPr>
                <w:b/>
                <w:sz w:val="20"/>
                <w:szCs w:val="20"/>
              </w:rPr>
              <w:t>Aktvendime</w:t>
            </w:r>
          </w:p>
        </w:tc>
        <w:tc>
          <w:tcPr>
            <w:tcW w:w="1194" w:type="dxa"/>
            <w:shd w:val="clear" w:color="auto" w:fill="E2EFD9" w:themeFill="accent6" w:themeFillTint="33"/>
          </w:tcPr>
          <w:p w:rsidR="00C43375" w:rsidRPr="00725187" w:rsidRDefault="00C43375" w:rsidP="00C43375">
            <w:pPr>
              <w:pStyle w:val="Default"/>
              <w:rPr>
                <w:b/>
                <w:bCs/>
                <w:sz w:val="20"/>
                <w:szCs w:val="20"/>
                <w:lang w:val="sq-AL"/>
              </w:rPr>
            </w:pPr>
          </w:p>
          <w:p w:rsidR="00C43375" w:rsidRPr="00725187" w:rsidRDefault="00C43375" w:rsidP="00C43375">
            <w:pPr>
              <w:pStyle w:val="Default"/>
              <w:rPr>
                <w:b/>
                <w:bCs/>
                <w:sz w:val="20"/>
                <w:szCs w:val="20"/>
                <w:lang w:val="sq-AL"/>
              </w:rPr>
            </w:pPr>
          </w:p>
          <w:p w:rsidR="00C43375" w:rsidRDefault="00C43375" w:rsidP="00C43375">
            <w:pPr>
              <w:pStyle w:val="Default"/>
              <w:rPr>
                <w:b/>
                <w:bCs/>
                <w:sz w:val="20"/>
                <w:szCs w:val="20"/>
                <w:lang w:val="sq-AL"/>
              </w:rPr>
            </w:pPr>
            <w:r w:rsidRPr="00725187">
              <w:rPr>
                <w:b/>
                <w:bCs/>
                <w:sz w:val="20"/>
                <w:szCs w:val="20"/>
                <w:lang w:val="sq-AL"/>
              </w:rPr>
              <w:t xml:space="preserve">Gjoba </w:t>
            </w:r>
          </w:p>
          <w:p w:rsidR="00C43375" w:rsidRPr="00725187" w:rsidRDefault="00C43375" w:rsidP="00C43375">
            <w:pPr>
              <w:pStyle w:val="Default"/>
              <w:rPr>
                <w:b/>
                <w:sz w:val="20"/>
                <w:szCs w:val="20"/>
                <w:lang w:val="sq-AL"/>
              </w:rPr>
            </w:pPr>
            <w:r w:rsidRPr="00725187">
              <w:rPr>
                <w:b/>
                <w:bCs/>
                <w:sz w:val="20"/>
                <w:szCs w:val="20"/>
                <w:lang w:val="sq-AL"/>
              </w:rPr>
              <w:t>mandatorë</w:t>
            </w:r>
          </w:p>
        </w:tc>
        <w:tc>
          <w:tcPr>
            <w:tcW w:w="1172" w:type="dxa"/>
            <w:shd w:val="clear" w:color="auto" w:fill="E2EFD9" w:themeFill="accent6" w:themeFillTint="33"/>
          </w:tcPr>
          <w:p w:rsidR="00C55095" w:rsidRDefault="00C55095" w:rsidP="00C43375">
            <w:pPr>
              <w:spacing w:after="160" w:line="259" w:lineRule="auto"/>
              <w:rPr>
                <w:rFonts w:eastAsia="MS Mincho"/>
                <w:b/>
                <w:color w:val="000000"/>
                <w:sz w:val="20"/>
                <w:szCs w:val="20"/>
              </w:rPr>
            </w:pPr>
          </w:p>
          <w:p w:rsidR="00C43375" w:rsidRDefault="00C43375" w:rsidP="00C43375">
            <w:pPr>
              <w:spacing w:after="160" w:line="259" w:lineRule="auto"/>
              <w:rPr>
                <w:rFonts w:eastAsia="MS Mincho"/>
                <w:b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color w:val="000000"/>
                <w:sz w:val="20"/>
                <w:szCs w:val="20"/>
              </w:rPr>
              <w:t>Inspektime për leje të ndërtimit</w:t>
            </w:r>
          </w:p>
          <w:p w:rsidR="00C43375" w:rsidRPr="00725187" w:rsidRDefault="00C43375" w:rsidP="00C43375">
            <w:pPr>
              <w:pStyle w:val="Default"/>
              <w:rPr>
                <w:b/>
                <w:sz w:val="20"/>
                <w:szCs w:val="20"/>
                <w:lang w:val="sq-AL"/>
              </w:rPr>
            </w:pPr>
          </w:p>
        </w:tc>
        <w:tc>
          <w:tcPr>
            <w:tcW w:w="1172" w:type="dxa"/>
            <w:shd w:val="clear" w:color="auto" w:fill="E2EFD9" w:themeFill="accent6" w:themeFillTint="33"/>
          </w:tcPr>
          <w:p w:rsidR="00C55095" w:rsidRDefault="00C55095" w:rsidP="00C43375">
            <w:pPr>
              <w:spacing w:after="160" w:line="259" w:lineRule="auto"/>
              <w:rPr>
                <w:rFonts w:eastAsia="MS Mincho"/>
                <w:b/>
                <w:color w:val="000000"/>
                <w:sz w:val="20"/>
                <w:szCs w:val="20"/>
              </w:rPr>
            </w:pPr>
          </w:p>
          <w:p w:rsidR="00C43375" w:rsidRDefault="00C43375" w:rsidP="00C43375">
            <w:pPr>
              <w:spacing w:after="160" w:line="259" w:lineRule="auto"/>
              <w:rPr>
                <w:rFonts w:eastAsia="MS Mincho"/>
                <w:b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color w:val="000000"/>
                <w:sz w:val="20"/>
                <w:szCs w:val="20"/>
              </w:rPr>
              <w:t>Inspektime për leje mjedisore</w:t>
            </w:r>
          </w:p>
          <w:p w:rsidR="00C43375" w:rsidRPr="00725187" w:rsidRDefault="00C43375" w:rsidP="00C43375">
            <w:pPr>
              <w:pStyle w:val="Default"/>
              <w:rPr>
                <w:b/>
                <w:sz w:val="20"/>
                <w:szCs w:val="20"/>
                <w:lang w:val="sq-AL"/>
              </w:rPr>
            </w:pPr>
          </w:p>
        </w:tc>
        <w:tc>
          <w:tcPr>
            <w:tcW w:w="962" w:type="dxa"/>
            <w:shd w:val="clear" w:color="auto" w:fill="E2EFD9" w:themeFill="accent6" w:themeFillTint="33"/>
          </w:tcPr>
          <w:p w:rsidR="00C43375" w:rsidRPr="00725187" w:rsidRDefault="00C43375" w:rsidP="00C43375">
            <w:pPr>
              <w:pStyle w:val="Default"/>
              <w:rPr>
                <w:b/>
                <w:sz w:val="20"/>
                <w:szCs w:val="20"/>
              </w:rPr>
            </w:pPr>
          </w:p>
          <w:p w:rsidR="00C55095" w:rsidRDefault="00C55095" w:rsidP="00C43375">
            <w:pPr>
              <w:pStyle w:val="Default"/>
              <w:rPr>
                <w:b/>
                <w:bCs/>
                <w:sz w:val="20"/>
                <w:szCs w:val="20"/>
                <w:lang w:val="sq-AL"/>
              </w:rPr>
            </w:pPr>
          </w:p>
          <w:p w:rsidR="00C43375" w:rsidRDefault="00C43375" w:rsidP="00C43375">
            <w:pPr>
              <w:pStyle w:val="Default"/>
              <w:rPr>
                <w:b/>
                <w:bCs/>
                <w:sz w:val="20"/>
                <w:szCs w:val="20"/>
                <w:lang w:val="sq-AL"/>
              </w:rPr>
            </w:pPr>
            <w:r w:rsidRPr="00725187">
              <w:rPr>
                <w:b/>
                <w:bCs/>
                <w:sz w:val="20"/>
                <w:szCs w:val="20"/>
                <w:lang w:val="sq-AL"/>
              </w:rPr>
              <w:t>Kërkesa</w:t>
            </w:r>
          </w:p>
          <w:p w:rsidR="00C43375" w:rsidRPr="00725187" w:rsidRDefault="00C43375" w:rsidP="00C43375">
            <w:pPr>
              <w:pStyle w:val="Default"/>
              <w:rPr>
                <w:sz w:val="20"/>
                <w:szCs w:val="20"/>
                <w:lang w:val="sq-AL"/>
              </w:rPr>
            </w:pPr>
            <w:r w:rsidRPr="00725187">
              <w:rPr>
                <w:b/>
                <w:bCs/>
                <w:sz w:val="20"/>
                <w:szCs w:val="20"/>
                <w:lang w:val="sq-AL"/>
              </w:rPr>
              <w:t xml:space="preserve"> për gjykatë </w:t>
            </w:r>
          </w:p>
          <w:p w:rsidR="00C43375" w:rsidRPr="00725187" w:rsidRDefault="00C43375" w:rsidP="00C43375">
            <w:pPr>
              <w:rPr>
                <w:b/>
                <w:sz w:val="20"/>
                <w:szCs w:val="20"/>
              </w:rPr>
            </w:pPr>
          </w:p>
        </w:tc>
      </w:tr>
      <w:tr w:rsidR="00C55095" w:rsidTr="00C43375">
        <w:tc>
          <w:tcPr>
            <w:tcW w:w="1350" w:type="dxa"/>
            <w:shd w:val="clear" w:color="auto" w:fill="C5E0B3" w:themeFill="accent6" w:themeFillTint="66"/>
          </w:tcPr>
          <w:p w:rsidR="00C55095" w:rsidRPr="000E53C9" w:rsidRDefault="00C55095" w:rsidP="00C43375">
            <w:pPr>
              <w:rPr>
                <w:b/>
                <w:sz w:val="20"/>
                <w:szCs w:val="20"/>
              </w:rPr>
            </w:pPr>
            <w:r w:rsidRPr="000E53C9">
              <w:rPr>
                <w:b/>
                <w:sz w:val="20"/>
                <w:szCs w:val="20"/>
              </w:rPr>
              <w:t>Inspektorja për mbrojtje të mjedisit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:rsidR="00C55095" w:rsidRDefault="00C55095" w:rsidP="00C43375">
            <w:pPr>
              <w:jc w:val="center"/>
              <w:rPr>
                <w:b/>
                <w:sz w:val="20"/>
                <w:szCs w:val="20"/>
              </w:rPr>
            </w:pPr>
          </w:p>
          <w:p w:rsidR="00C55095" w:rsidRPr="00725187" w:rsidRDefault="00C55095" w:rsidP="00C433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260" w:type="dxa"/>
            <w:vMerge w:val="restart"/>
            <w:shd w:val="clear" w:color="auto" w:fill="E2EFD9" w:themeFill="accent6" w:themeFillTint="33"/>
          </w:tcPr>
          <w:p w:rsidR="00C55095" w:rsidRPr="00725187" w:rsidRDefault="00C55095" w:rsidP="00C55095">
            <w:pPr>
              <w:jc w:val="center"/>
              <w:rPr>
                <w:b/>
                <w:sz w:val="20"/>
                <w:szCs w:val="20"/>
              </w:rPr>
            </w:pPr>
          </w:p>
          <w:p w:rsidR="00C55095" w:rsidRPr="00725187" w:rsidRDefault="00C55095" w:rsidP="00C55095">
            <w:pPr>
              <w:jc w:val="center"/>
              <w:rPr>
                <w:b/>
                <w:sz w:val="20"/>
                <w:szCs w:val="20"/>
              </w:rPr>
            </w:pPr>
          </w:p>
          <w:p w:rsidR="00C55095" w:rsidRDefault="00C55095" w:rsidP="00C55095">
            <w:pPr>
              <w:jc w:val="center"/>
              <w:rPr>
                <w:b/>
                <w:sz w:val="20"/>
                <w:szCs w:val="20"/>
              </w:rPr>
            </w:pPr>
          </w:p>
          <w:p w:rsidR="00C55095" w:rsidRPr="00725187" w:rsidRDefault="00C55095" w:rsidP="00C550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119</w:t>
            </w:r>
          </w:p>
          <w:p w:rsidR="00C55095" w:rsidRPr="00725187" w:rsidRDefault="00C55095" w:rsidP="00C55095">
            <w:pPr>
              <w:jc w:val="center"/>
              <w:rPr>
                <w:b/>
                <w:sz w:val="20"/>
                <w:szCs w:val="20"/>
              </w:rPr>
            </w:pPr>
          </w:p>
          <w:p w:rsidR="00C55095" w:rsidRPr="00725187" w:rsidRDefault="00C55095" w:rsidP="00C550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E2EFD9" w:themeFill="accent6" w:themeFillTint="33"/>
          </w:tcPr>
          <w:p w:rsidR="00C55095" w:rsidRDefault="00C55095" w:rsidP="00C55095">
            <w:pPr>
              <w:jc w:val="center"/>
              <w:rPr>
                <w:b/>
                <w:sz w:val="20"/>
                <w:szCs w:val="20"/>
              </w:rPr>
            </w:pPr>
          </w:p>
          <w:p w:rsidR="00C55095" w:rsidRDefault="00C55095" w:rsidP="00C55095">
            <w:pPr>
              <w:jc w:val="center"/>
              <w:rPr>
                <w:b/>
                <w:sz w:val="20"/>
                <w:szCs w:val="20"/>
              </w:rPr>
            </w:pPr>
          </w:p>
          <w:p w:rsidR="00C55095" w:rsidRDefault="00C55095" w:rsidP="00C55095">
            <w:pPr>
              <w:jc w:val="center"/>
              <w:rPr>
                <w:b/>
                <w:sz w:val="20"/>
                <w:szCs w:val="20"/>
              </w:rPr>
            </w:pPr>
          </w:p>
          <w:p w:rsidR="00C55095" w:rsidRPr="00725187" w:rsidRDefault="00C55095" w:rsidP="00C550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16</w:t>
            </w:r>
          </w:p>
        </w:tc>
        <w:tc>
          <w:tcPr>
            <w:tcW w:w="1194" w:type="dxa"/>
            <w:vMerge w:val="restart"/>
            <w:shd w:val="clear" w:color="auto" w:fill="E2EFD9" w:themeFill="accent6" w:themeFillTint="33"/>
          </w:tcPr>
          <w:p w:rsidR="00C55095" w:rsidRPr="00725187" w:rsidRDefault="00C55095" w:rsidP="00C55095">
            <w:pPr>
              <w:jc w:val="center"/>
              <w:rPr>
                <w:b/>
                <w:sz w:val="20"/>
                <w:szCs w:val="20"/>
              </w:rPr>
            </w:pPr>
          </w:p>
          <w:p w:rsidR="00C55095" w:rsidRPr="00725187" w:rsidRDefault="00C55095" w:rsidP="00C55095">
            <w:pPr>
              <w:jc w:val="center"/>
              <w:rPr>
                <w:b/>
                <w:sz w:val="20"/>
                <w:szCs w:val="20"/>
              </w:rPr>
            </w:pPr>
          </w:p>
          <w:p w:rsidR="00C55095" w:rsidRPr="00725187" w:rsidRDefault="00C55095" w:rsidP="00C55095">
            <w:pPr>
              <w:jc w:val="center"/>
              <w:rPr>
                <w:b/>
                <w:sz w:val="20"/>
                <w:szCs w:val="20"/>
              </w:rPr>
            </w:pPr>
          </w:p>
          <w:p w:rsidR="00C55095" w:rsidRPr="00725187" w:rsidRDefault="00C55095" w:rsidP="00C550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11</w:t>
            </w:r>
          </w:p>
        </w:tc>
        <w:tc>
          <w:tcPr>
            <w:tcW w:w="1172" w:type="dxa"/>
            <w:vMerge w:val="restart"/>
            <w:shd w:val="clear" w:color="auto" w:fill="E2EFD9" w:themeFill="accent6" w:themeFillTint="33"/>
          </w:tcPr>
          <w:p w:rsidR="00C55095" w:rsidRDefault="00C55095" w:rsidP="00C55095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</w:p>
          <w:p w:rsidR="00C55095" w:rsidRDefault="00C55095" w:rsidP="00C55095">
            <w:pPr>
              <w:jc w:val="center"/>
              <w:rPr>
                <w:b/>
                <w:sz w:val="20"/>
                <w:szCs w:val="20"/>
              </w:rPr>
            </w:pPr>
          </w:p>
          <w:p w:rsidR="00C55095" w:rsidRPr="00C55095" w:rsidRDefault="00C55095" w:rsidP="00C550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Pr="00C55095">
              <w:rPr>
                <w:b/>
                <w:sz w:val="20"/>
                <w:szCs w:val="20"/>
              </w:rPr>
              <w:t>13</w:t>
            </w:r>
          </w:p>
          <w:p w:rsidR="00C55095" w:rsidRDefault="00C55095" w:rsidP="00C55095">
            <w:pPr>
              <w:jc w:val="center"/>
              <w:rPr>
                <w:b/>
                <w:sz w:val="20"/>
                <w:szCs w:val="20"/>
              </w:rPr>
            </w:pPr>
          </w:p>
          <w:p w:rsidR="00C55095" w:rsidRPr="00725187" w:rsidRDefault="00C55095" w:rsidP="00C550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shd w:val="clear" w:color="auto" w:fill="E2EFD9" w:themeFill="accent6" w:themeFillTint="33"/>
          </w:tcPr>
          <w:p w:rsidR="00C55095" w:rsidRDefault="00C55095" w:rsidP="00C55095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</w:p>
          <w:p w:rsidR="00C55095" w:rsidRDefault="00C55095" w:rsidP="00C55095">
            <w:pPr>
              <w:jc w:val="center"/>
              <w:rPr>
                <w:b/>
                <w:sz w:val="20"/>
                <w:szCs w:val="20"/>
              </w:rPr>
            </w:pPr>
          </w:p>
          <w:p w:rsidR="00C55095" w:rsidRPr="00725187" w:rsidRDefault="00C55095" w:rsidP="00C550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12</w:t>
            </w:r>
          </w:p>
        </w:tc>
        <w:tc>
          <w:tcPr>
            <w:tcW w:w="962" w:type="dxa"/>
            <w:vMerge w:val="restart"/>
            <w:shd w:val="clear" w:color="auto" w:fill="E2EFD9" w:themeFill="accent6" w:themeFillTint="33"/>
          </w:tcPr>
          <w:p w:rsidR="00C55095" w:rsidRDefault="00C55095" w:rsidP="00C55095">
            <w:pPr>
              <w:jc w:val="center"/>
              <w:rPr>
                <w:b/>
                <w:sz w:val="20"/>
                <w:szCs w:val="20"/>
              </w:rPr>
            </w:pPr>
          </w:p>
          <w:p w:rsidR="00C55095" w:rsidRDefault="00C55095" w:rsidP="00C55095">
            <w:pPr>
              <w:jc w:val="center"/>
              <w:rPr>
                <w:b/>
                <w:sz w:val="20"/>
                <w:szCs w:val="20"/>
              </w:rPr>
            </w:pPr>
          </w:p>
          <w:p w:rsidR="00C55095" w:rsidRDefault="00C55095" w:rsidP="00C55095">
            <w:pPr>
              <w:jc w:val="center"/>
              <w:rPr>
                <w:b/>
                <w:sz w:val="20"/>
                <w:szCs w:val="20"/>
              </w:rPr>
            </w:pPr>
          </w:p>
          <w:p w:rsidR="00C55095" w:rsidRDefault="00C55095" w:rsidP="00C550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2</w:t>
            </w:r>
          </w:p>
          <w:p w:rsidR="00C55095" w:rsidRPr="00725187" w:rsidRDefault="00C55095" w:rsidP="00C5509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55095" w:rsidTr="00C55095">
        <w:trPr>
          <w:trHeight w:val="510"/>
        </w:trPr>
        <w:tc>
          <w:tcPr>
            <w:tcW w:w="1350" w:type="dxa"/>
            <w:shd w:val="clear" w:color="auto" w:fill="C5E0B3" w:themeFill="accent6" w:themeFillTint="66"/>
          </w:tcPr>
          <w:p w:rsidR="00C55095" w:rsidRPr="000E53C9" w:rsidRDefault="00C55095" w:rsidP="00C43375">
            <w:pPr>
              <w:rPr>
                <w:b/>
                <w:sz w:val="20"/>
                <w:szCs w:val="20"/>
              </w:rPr>
            </w:pPr>
            <w:r w:rsidRPr="000E53C9">
              <w:rPr>
                <w:b/>
                <w:sz w:val="20"/>
                <w:szCs w:val="20"/>
              </w:rPr>
              <w:t>Inspektori i tregut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:rsidR="00C55095" w:rsidRPr="000E53C9" w:rsidRDefault="00C55095" w:rsidP="004F0A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35</w:t>
            </w:r>
          </w:p>
        </w:tc>
        <w:tc>
          <w:tcPr>
            <w:tcW w:w="1260" w:type="dxa"/>
            <w:vMerge/>
            <w:shd w:val="clear" w:color="auto" w:fill="E2EFD9" w:themeFill="accent6" w:themeFillTint="33"/>
          </w:tcPr>
          <w:p w:rsidR="00C55095" w:rsidRPr="000E53C9" w:rsidRDefault="00C55095" w:rsidP="000A53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E2EFD9" w:themeFill="accent6" w:themeFillTint="33"/>
          </w:tcPr>
          <w:p w:rsidR="00C55095" w:rsidRPr="000E53C9" w:rsidRDefault="00C55095" w:rsidP="000A53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E2EFD9" w:themeFill="accent6" w:themeFillTint="33"/>
          </w:tcPr>
          <w:p w:rsidR="00C55095" w:rsidRPr="000E53C9" w:rsidRDefault="00C55095" w:rsidP="000A53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2" w:type="dxa"/>
            <w:vMerge/>
            <w:shd w:val="clear" w:color="auto" w:fill="E2EFD9" w:themeFill="accent6" w:themeFillTint="33"/>
          </w:tcPr>
          <w:p w:rsidR="00C55095" w:rsidRPr="000E53C9" w:rsidRDefault="00C55095" w:rsidP="000A53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2" w:type="dxa"/>
            <w:vMerge/>
            <w:shd w:val="clear" w:color="auto" w:fill="E2EFD9" w:themeFill="accent6" w:themeFillTint="33"/>
          </w:tcPr>
          <w:p w:rsidR="00C55095" w:rsidRPr="000E53C9" w:rsidRDefault="00C55095" w:rsidP="000A53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E2EFD9" w:themeFill="accent6" w:themeFillTint="33"/>
          </w:tcPr>
          <w:p w:rsidR="00C55095" w:rsidRPr="000E53C9" w:rsidRDefault="00C55095" w:rsidP="000A53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55095" w:rsidTr="00C43375">
        <w:tc>
          <w:tcPr>
            <w:tcW w:w="1350" w:type="dxa"/>
            <w:shd w:val="clear" w:color="auto" w:fill="C5E0B3" w:themeFill="accent6" w:themeFillTint="66"/>
          </w:tcPr>
          <w:p w:rsidR="00C55095" w:rsidRPr="000E53C9" w:rsidRDefault="00C55095" w:rsidP="00C43375">
            <w:pPr>
              <w:rPr>
                <w:b/>
                <w:sz w:val="20"/>
                <w:szCs w:val="20"/>
              </w:rPr>
            </w:pPr>
            <w:r w:rsidRPr="000E53C9">
              <w:rPr>
                <w:b/>
                <w:sz w:val="20"/>
                <w:szCs w:val="20"/>
              </w:rPr>
              <w:t>Inspektori i ndërtimit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:rsidR="00C55095" w:rsidRPr="000E53C9" w:rsidRDefault="00C55095" w:rsidP="00C433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1260" w:type="dxa"/>
            <w:vMerge/>
            <w:shd w:val="clear" w:color="auto" w:fill="E2EFD9" w:themeFill="accent6" w:themeFillTint="33"/>
          </w:tcPr>
          <w:p w:rsidR="00C55095" w:rsidRPr="000E53C9" w:rsidRDefault="00C55095" w:rsidP="000A53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E2EFD9" w:themeFill="accent6" w:themeFillTint="33"/>
          </w:tcPr>
          <w:p w:rsidR="00C55095" w:rsidRPr="000E53C9" w:rsidRDefault="00C55095" w:rsidP="000A53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E2EFD9" w:themeFill="accent6" w:themeFillTint="33"/>
          </w:tcPr>
          <w:p w:rsidR="00C55095" w:rsidRPr="000E53C9" w:rsidRDefault="00C55095" w:rsidP="000A53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2" w:type="dxa"/>
            <w:vMerge/>
            <w:shd w:val="clear" w:color="auto" w:fill="E2EFD9" w:themeFill="accent6" w:themeFillTint="33"/>
          </w:tcPr>
          <w:p w:rsidR="00C55095" w:rsidRPr="000E53C9" w:rsidRDefault="00C55095" w:rsidP="000A53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2" w:type="dxa"/>
            <w:vMerge/>
            <w:shd w:val="clear" w:color="auto" w:fill="E2EFD9" w:themeFill="accent6" w:themeFillTint="33"/>
          </w:tcPr>
          <w:p w:rsidR="00C55095" w:rsidRPr="000E53C9" w:rsidRDefault="00C55095" w:rsidP="000A53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E2EFD9" w:themeFill="accent6" w:themeFillTint="33"/>
          </w:tcPr>
          <w:p w:rsidR="00C55095" w:rsidRPr="000E53C9" w:rsidRDefault="00C55095" w:rsidP="000A53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55095" w:rsidTr="00C43375">
        <w:tc>
          <w:tcPr>
            <w:tcW w:w="1350" w:type="dxa"/>
            <w:shd w:val="clear" w:color="auto" w:fill="C5E0B3" w:themeFill="accent6" w:themeFillTint="66"/>
          </w:tcPr>
          <w:p w:rsidR="00C55095" w:rsidRPr="000E53C9" w:rsidRDefault="00C55095" w:rsidP="00C433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Inspektori i Veterinarisë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:rsidR="00C55095" w:rsidRPr="000E53C9" w:rsidRDefault="00C55095" w:rsidP="00C433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30 </w:t>
            </w:r>
          </w:p>
        </w:tc>
        <w:tc>
          <w:tcPr>
            <w:tcW w:w="1260" w:type="dxa"/>
            <w:vMerge/>
            <w:shd w:val="clear" w:color="auto" w:fill="E2EFD9" w:themeFill="accent6" w:themeFillTint="33"/>
          </w:tcPr>
          <w:p w:rsidR="00C55095" w:rsidRPr="000E53C9" w:rsidRDefault="00C55095" w:rsidP="000A53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E2EFD9" w:themeFill="accent6" w:themeFillTint="33"/>
          </w:tcPr>
          <w:p w:rsidR="00C55095" w:rsidRPr="000E53C9" w:rsidRDefault="00C55095" w:rsidP="000A53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E2EFD9" w:themeFill="accent6" w:themeFillTint="33"/>
          </w:tcPr>
          <w:p w:rsidR="00C55095" w:rsidRPr="000E53C9" w:rsidRDefault="00C55095" w:rsidP="000A53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2" w:type="dxa"/>
            <w:vMerge/>
            <w:shd w:val="clear" w:color="auto" w:fill="E2EFD9" w:themeFill="accent6" w:themeFillTint="33"/>
          </w:tcPr>
          <w:p w:rsidR="00C55095" w:rsidRPr="000E53C9" w:rsidRDefault="00C55095" w:rsidP="000A53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2" w:type="dxa"/>
            <w:vMerge/>
            <w:shd w:val="clear" w:color="auto" w:fill="E2EFD9" w:themeFill="accent6" w:themeFillTint="33"/>
          </w:tcPr>
          <w:p w:rsidR="00C55095" w:rsidRPr="000E53C9" w:rsidRDefault="00C55095" w:rsidP="000A53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E2EFD9" w:themeFill="accent6" w:themeFillTint="33"/>
          </w:tcPr>
          <w:p w:rsidR="00C55095" w:rsidRPr="000E53C9" w:rsidRDefault="00C55095" w:rsidP="000A53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375" w:rsidTr="000A531E">
        <w:trPr>
          <w:trHeight w:val="287"/>
        </w:trPr>
        <w:tc>
          <w:tcPr>
            <w:tcW w:w="1350" w:type="dxa"/>
            <w:shd w:val="clear" w:color="auto" w:fill="E2EFD9" w:themeFill="accent6" w:themeFillTint="33"/>
          </w:tcPr>
          <w:p w:rsidR="00C43375" w:rsidRPr="000E53C9" w:rsidRDefault="00C43375" w:rsidP="000A53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Gjithsej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:rsidR="00C43375" w:rsidRDefault="004E3836" w:rsidP="000A53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="005F221B">
              <w:rPr>
                <w:b/>
                <w:sz w:val="20"/>
                <w:szCs w:val="20"/>
              </w:rPr>
              <w:t>140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:rsidR="00C43375" w:rsidRPr="000E53C9" w:rsidRDefault="000E59FA" w:rsidP="004F0A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119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:rsidR="00C43375" w:rsidRPr="000E53C9" w:rsidRDefault="000E59FA" w:rsidP="004F0A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194" w:type="dxa"/>
            <w:shd w:val="clear" w:color="auto" w:fill="E2EFD9" w:themeFill="accent6" w:themeFillTint="33"/>
          </w:tcPr>
          <w:p w:rsidR="00C43375" w:rsidRPr="000E53C9" w:rsidRDefault="000E59FA" w:rsidP="000E59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C55095">
              <w:rPr>
                <w:b/>
                <w:sz w:val="20"/>
                <w:szCs w:val="20"/>
              </w:rPr>
              <w:t xml:space="preserve">     </w:t>
            </w: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E2EFD9" w:themeFill="accent6" w:themeFillTint="33"/>
          </w:tcPr>
          <w:p w:rsidR="00C43375" w:rsidRDefault="000E59FA" w:rsidP="004F0AAD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  <w:p w:rsidR="00C43375" w:rsidRPr="000E53C9" w:rsidRDefault="00C43375" w:rsidP="004F0A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E2EFD9" w:themeFill="accent6" w:themeFillTint="33"/>
          </w:tcPr>
          <w:p w:rsidR="00C43375" w:rsidRPr="000E53C9" w:rsidRDefault="000E59FA" w:rsidP="004F0A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62" w:type="dxa"/>
            <w:shd w:val="clear" w:color="auto" w:fill="E2EFD9" w:themeFill="accent6" w:themeFillTint="33"/>
          </w:tcPr>
          <w:p w:rsidR="00C43375" w:rsidRPr="000E53C9" w:rsidRDefault="000E59FA" w:rsidP="004F0A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</w:tbl>
    <w:p w:rsidR="005750F7" w:rsidRPr="00725187" w:rsidRDefault="00F343C2" w:rsidP="00725187">
      <w:pPr>
        <w:tabs>
          <w:tab w:val="left" w:pos="2453"/>
        </w:tabs>
        <w:spacing w:line="360" w:lineRule="auto"/>
        <w:jc w:val="both"/>
        <w:rPr>
          <w:b/>
        </w:rPr>
      </w:pPr>
      <w:r w:rsidRPr="00725187">
        <w:rPr>
          <w:b/>
        </w:rPr>
        <w:tab/>
      </w:r>
    </w:p>
    <w:p w:rsidR="00604236" w:rsidRDefault="00725187" w:rsidP="00511DA0">
      <w:pPr>
        <w:pStyle w:val="Default"/>
        <w:rPr>
          <w:b/>
          <w:bCs/>
          <w:sz w:val="20"/>
          <w:szCs w:val="20"/>
          <w:lang w:val="sq-AL"/>
        </w:rPr>
      </w:pPr>
      <w:r w:rsidRPr="00725187">
        <w:rPr>
          <w:b/>
          <w:bCs/>
          <w:sz w:val="20"/>
          <w:szCs w:val="20"/>
          <w:u w:val="single"/>
          <w:lang w:val="sq-AL"/>
        </w:rPr>
        <w:t>Kërkesë</w:t>
      </w:r>
      <w:r w:rsidR="00604236">
        <w:rPr>
          <w:b/>
          <w:bCs/>
          <w:sz w:val="20"/>
          <w:szCs w:val="20"/>
          <w:lang w:val="sq-AL"/>
        </w:rPr>
        <w:t xml:space="preserve">: Si punë shumë e </w:t>
      </w:r>
      <w:r w:rsidRPr="00725187">
        <w:rPr>
          <w:b/>
          <w:bCs/>
          <w:sz w:val="20"/>
          <w:szCs w:val="20"/>
          <w:lang w:val="sq-AL"/>
        </w:rPr>
        <w:t xml:space="preserve"> ndjeshme që është ndërtimi dhe cilësia e ushqimit (produkteve të qumështit dhe mishit)   </w:t>
      </w:r>
      <w:r w:rsidR="00604236">
        <w:rPr>
          <w:b/>
          <w:bCs/>
          <w:sz w:val="20"/>
          <w:szCs w:val="20"/>
          <w:lang w:val="sq-AL"/>
        </w:rPr>
        <w:t xml:space="preserve">i  domosdoshëm është inspektori i ndërtimit dhe i veterinarisë të jenë zyrtar të rregullt  në listë të pagave. </w:t>
      </w:r>
    </w:p>
    <w:p w:rsidR="00F343C2" w:rsidRPr="00305985" w:rsidRDefault="00F343C2" w:rsidP="00511DA0">
      <w:pPr>
        <w:pStyle w:val="Default"/>
        <w:rPr>
          <w:sz w:val="20"/>
          <w:szCs w:val="20"/>
          <w:lang w:val="sq-AL"/>
        </w:rPr>
      </w:pPr>
    </w:p>
    <w:sectPr w:rsidR="00F343C2" w:rsidRPr="003059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A7E6B"/>
    <w:multiLevelType w:val="hybridMultilevel"/>
    <w:tmpl w:val="A944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44289"/>
    <w:multiLevelType w:val="hybridMultilevel"/>
    <w:tmpl w:val="50A42E64"/>
    <w:lvl w:ilvl="0" w:tplc="E8AA7B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C63"/>
    <w:rsid w:val="00044009"/>
    <w:rsid w:val="00074FE3"/>
    <w:rsid w:val="000A531E"/>
    <w:rsid w:val="000C4717"/>
    <w:rsid w:val="000D65F8"/>
    <w:rsid w:val="000D7940"/>
    <w:rsid w:val="000E53C9"/>
    <w:rsid w:val="000E59FA"/>
    <w:rsid w:val="000E5A41"/>
    <w:rsid w:val="00110721"/>
    <w:rsid w:val="00170E00"/>
    <w:rsid w:val="00180D7B"/>
    <w:rsid w:val="00186676"/>
    <w:rsid w:val="001B22E1"/>
    <w:rsid w:val="001C4CFF"/>
    <w:rsid w:val="00237256"/>
    <w:rsid w:val="00305985"/>
    <w:rsid w:val="0032014A"/>
    <w:rsid w:val="003C5FDC"/>
    <w:rsid w:val="00423C63"/>
    <w:rsid w:val="0047623E"/>
    <w:rsid w:val="004E3836"/>
    <w:rsid w:val="004F0AAD"/>
    <w:rsid w:val="00511DA0"/>
    <w:rsid w:val="005750F7"/>
    <w:rsid w:val="005A1F54"/>
    <w:rsid w:val="005F221B"/>
    <w:rsid w:val="00604236"/>
    <w:rsid w:val="006519A0"/>
    <w:rsid w:val="006C7CCC"/>
    <w:rsid w:val="00725187"/>
    <w:rsid w:val="007621B2"/>
    <w:rsid w:val="00776250"/>
    <w:rsid w:val="007F7817"/>
    <w:rsid w:val="008A22BC"/>
    <w:rsid w:val="008B6B12"/>
    <w:rsid w:val="008F04EC"/>
    <w:rsid w:val="00950AD8"/>
    <w:rsid w:val="00983F87"/>
    <w:rsid w:val="009E1CC5"/>
    <w:rsid w:val="00A15949"/>
    <w:rsid w:val="00B111DD"/>
    <w:rsid w:val="00BA1002"/>
    <w:rsid w:val="00BA6867"/>
    <w:rsid w:val="00BD4086"/>
    <w:rsid w:val="00C43375"/>
    <w:rsid w:val="00C55095"/>
    <w:rsid w:val="00CB08A4"/>
    <w:rsid w:val="00D62D48"/>
    <w:rsid w:val="00D6376A"/>
    <w:rsid w:val="00D7716B"/>
    <w:rsid w:val="00E702C3"/>
    <w:rsid w:val="00EF3778"/>
    <w:rsid w:val="00F13361"/>
    <w:rsid w:val="00F1492E"/>
    <w:rsid w:val="00F14B0E"/>
    <w:rsid w:val="00F17C16"/>
    <w:rsid w:val="00F30816"/>
    <w:rsid w:val="00F343C2"/>
    <w:rsid w:val="00F502A4"/>
    <w:rsid w:val="00F62149"/>
    <w:rsid w:val="00F8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88B2D"/>
  <w15:chartTrackingRefBased/>
  <w15:docId w15:val="{EFB9B615-E31E-492C-BC13-BD43BBEC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00"/>
    <w:rPr>
      <w:rFonts w:ascii="Segoe UI" w:eastAsia="Times New Roman" w:hAnsi="Segoe UI" w:cs="Segoe UI"/>
      <w:sz w:val="18"/>
      <w:szCs w:val="18"/>
      <w:lang w:val="sq-AL"/>
    </w:rPr>
  </w:style>
  <w:style w:type="table" w:styleId="TableGrid">
    <w:name w:val="Table Grid"/>
    <w:basedOn w:val="TableNormal"/>
    <w:rsid w:val="00186676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50F7"/>
    <w:pPr>
      <w:ind w:left="720"/>
      <w:contextualSpacing/>
    </w:pPr>
  </w:style>
  <w:style w:type="paragraph" w:customStyle="1" w:styleId="Default">
    <w:name w:val="Default"/>
    <w:rsid w:val="00A159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Artan Mataj</dc:creator>
  <cp:keywords/>
  <dc:description/>
  <cp:lastModifiedBy>Ajne Iberhysaj</cp:lastModifiedBy>
  <cp:revision>8</cp:revision>
  <cp:lastPrinted>2025-07-04T12:43:00Z</cp:lastPrinted>
  <dcterms:created xsi:type="dcterms:W3CDTF">2025-07-04T11:51:00Z</dcterms:created>
  <dcterms:modified xsi:type="dcterms:W3CDTF">2025-12-24T13:42:00Z</dcterms:modified>
</cp:coreProperties>
</file>